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t>Dokumentacja bazy danych Autoparts DB V2</w:t>
      </w:r>
    </w:p>
    <w:p>
      <w:pPr>
        <w:spacing w:after="480"/>
      </w:pPr>
      <w:r>
        <w:rPr>
          <w:rFonts w:ascii="Arial" w:hAnsi="Arial" w:eastAsia="Arial"/>
          <w:color w:val="000000"/>
          <w:sz w:val="30"/>
        </w:rPr>
        <w:t>Architektura obiekty przepływy i kontrola jakości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2232"/>
        <w:gridCol w:w="7344"/>
      </w:tblGrid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Autor projektu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Kamil Soja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Baza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autoparts-db-v2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Technologia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Azure SQL i T-SQL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Stan schematu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13 września 2026</w:t>
            </w:r>
          </w:p>
        </w:tc>
      </w:tr>
      <w:tr>
        <w:tc>
          <w:tcPr>
            <w:tcW w:type="dxa" w:w="2232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b/>
                <w:color w:val="464646"/>
                <w:sz w:val="18"/>
              </w:rPr>
              <w:t>Wersja dokumentu</w:t>
            </w:r>
          </w:p>
        </w:tc>
        <w:tc>
          <w:tcPr>
            <w:tcW w:type="dxa" w:w="7344"/>
            <w:tcMar>
              <w:top w:w="30" w:type="dxa"/>
              <w:start w:w="0" w:type="dxa"/>
              <w:bottom w:w="30" w:type="dxa"/>
              <w:end w:w="0" w:type="dxa"/>
            </w:tcMar>
          </w:tcPr>
          <w:p>
            <w:r>
              <w:rPr>
                <w:rFonts w:ascii="Arial" w:hAnsi="Arial" w:eastAsia="Arial"/>
                <w:sz w:val="19"/>
              </w:rPr>
              <w:t>24 września 2026</w:t>
            </w:r>
          </w:p>
        </w:tc>
      </w:tr>
    </w:tbl>
    <w:p/>
    <w:p>
      <w:pPr>
        <w:spacing w:before="240" w:after="160"/>
      </w:pPr>
      <w:r>
        <w:t>Dokument opisuje wyłącznie bazę danych projektu Autoparts DB V2: jej architekturę, obiekty, przepływy danych, reguły publikacji, kontrolę jakości oraz potwierdzony stan demonstracyjny. Warstwa wizualizacyjna i model semantyczny pozostają poza zakresem.</w:t>
      </w:r>
    </w:p>
    <w:p>
      <w:pPr>
        <w:spacing w:after="200"/>
      </w:pPr>
      <w:r>
        <w:t>Dokumentację uzupełniają dwa osobne pliki: wykonywalny rejestr SQL oraz skrócony katalog wszystkich wpisów SQL.</w:t>
      </w:r>
    </w:p>
    <w:p>
      <w:r>
        <w:br w:type="page"/>
      </w:r>
    </w:p>
    <w:p>
      <w:pPr>
        <w:pStyle w:val="Heading1"/>
      </w:pPr>
      <w:r>
        <w:t>1 Zakres i cel bazy</w:t>
      </w:r>
    </w:p>
    <w:p>
      <w:r>
        <w:t>Autoparts DB V2 symuluje platformę control tower fikcyjnego producenta części samochodowych. Baza przyjmuje prognozy produkcji pojazdów OEM, kontroluje ich jakość, przelicza je przez BOM na popyt komponentowy, buduje potrzeby transportowe i alokuje je do przewoźników. Dla bieżącego Tacticala tworzy również tygodniowy plan produkcji oraz projekcję stocku fabryk.</w:t>
      </w:r>
    </w:p>
    <w:p>
      <w:r>
        <w:t>Dane są demonstracyjne. Cztery tygodnie overcapacity w każdym Tacticalu oraz trzy tygodnie niedoboru w FAC001 i FAC002 są kontrolowanymi scenariuszami analitycznymi. Initial stock W36 jest stanem modelowanym. Baza nie zawiera actuals, wykonania zleceń transportowych, harmonogramu zmian produkcyjnych, optymalizatora MRP ani stanów magazynów pośrednich.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835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Rodzaj</w:t>
            </w:r>
          </w:p>
        </w:tc>
        <w:tc>
          <w:tcPr>
            <w:tcW w:type="dxa" w:w="180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Liczba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Tabele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35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Widoki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52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Procedury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6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Triggery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5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Własne funkcje UDF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0</w:t>
            </w:r>
          </w:p>
        </w:tc>
      </w:tr>
      <w:tr>
        <w:trPr>
          <w:cantSplit/>
        </w:trPr>
        <w:tc>
          <w:tcPr>
            <w:tcW w:type="dxa" w:w="835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Osobno definiowane klucze obce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31</w:t>
            </w:r>
          </w:p>
        </w:tc>
      </w:tr>
      <w:tr>
        <w:trPr>
          <w:cantSplit/>
        </w:trPr>
        <w:tc>
          <w:tcPr>
            <w:tcW w:type="dxa" w:w="835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Jawne indeksy pomocnicze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12</w:t>
            </w:r>
          </w:p>
        </w:tc>
      </w:tr>
    </w:tbl>
    <w:p>
      <w:pPr>
        <w:spacing w:after="40"/>
      </w:pPr>
    </w:p>
    <w:p>
      <w:pPr>
        <w:pStyle w:val="Heading1"/>
      </w:pPr>
      <w:r>
        <w:t>2 Schematy i odpowiedzialności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1584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Schemat</w:t>
            </w:r>
          </w:p>
        </w:tc>
        <w:tc>
          <w:tcPr>
            <w:tcW w:type="dxa" w:w="856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Odpowiedzialność</w:t>
            </w:r>
          </w:p>
        </w:tc>
      </w:tr>
      <w:tr>
        <w:trPr>
          <w:cantSplit/>
        </w:trPr>
        <w:tc>
          <w:tcPr>
            <w:tcW w:type="dxa" w:w="158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dbo</w:t>
            </w:r>
          </w:p>
        </w:tc>
        <w:tc>
          <w:tcPr>
            <w:tcW w:type="dxa" w:w="856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Kartoteki, RAW, warstwy STG i CLEAN, popyt komponentowy, transport, produkcja, stock i interfejsy odczytowe.</w:t>
            </w:r>
          </w:p>
        </w:tc>
      </w:tr>
      <w:tr>
        <w:trPr>
          <w:cantSplit/>
        </w:trPr>
        <w:tc>
          <w:tcPr>
            <w:tcW w:type="dxa" w:w="158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ctl</w:t>
            </w:r>
          </w:p>
        </w:tc>
        <w:tc>
          <w:tcPr>
            <w:tcW w:type="dxa" w:w="856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Rejestr snapshotów, konfiguracja cyklu, scenariusze capacity, publikacja oraz historia ról Tactical.</w:t>
            </w:r>
          </w:p>
        </w:tc>
      </w:tr>
      <w:tr>
        <w:trPr>
          <w:cantSplit/>
        </w:trPr>
        <w:tc>
          <w:tcPr>
            <w:tcW w:type="dxa" w:w="158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audit</w:t>
            </w:r>
          </w:p>
        </w:tc>
        <w:tc>
          <w:tcPr>
            <w:tcW w:type="dxa" w:w="856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Uruchomienia walidacji, wyniki kontroli, wyjątki, stan pipeline oraz kontrola osi czasu.</w:t>
            </w:r>
          </w:p>
        </w:tc>
      </w:tr>
      <w:tr>
        <w:trPr>
          <w:cantSplit/>
        </w:trPr>
        <w:tc>
          <w:tcPr>
            <w:tcW w:type="dxa" w:w="158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load</w:t>
            </w:r>
          </w:p>
        </w:tc>
        <w:tc>
          <w:tcPr>
            <w:tcW w:type="dxa" w:w="856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Bufory plików przed transakcyjnym zapisem do RAW.</w:t>
            </w:r>
          </w:p>
        </w:tc>
      </w:tr>
      <w:tr>
        <w:trPr>
          <w:cantSplit/>
        </w:trPr>
        <w:tc>
          <w:tcPr>
            <w:tcW w:type="dxa" w:w="158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8"/>
              </w:rPr>
              <w:t>snap</w:t>
            </w:r>
          </w:p>
        </w:tc>
        <w:tc>
          <w:tcPr>
            <w:tcW w:type="dxa" w:w="856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8"/>
              </w:rPr>
              <w:t>Fizyczne, wersjonowane wyniki opublikowanych Tacticali.</w:t>
            </w:r>
          </w:p>
        </w:tc>
      </w:tr>
    </w:tbl>
    <w:p>
      <w:pPr>
        <w:spacing w:after="40"/>
      </w:pPr>
    </w:p>
    <w:p>
      <w:r>
        <w:t>Schemat dbo jest dostarczany przez SQL Server. Pozostałe cztery schematy tworzą wpisy SQL-001 do SQL-004. Rozdzielenie odpowiedzialności ogranicza mieszanie danych źródłowych, konfiguracji, audytu i publikacji.</w:t>
      </w:r>
    </w:p>
    <w:p>
      <w:pPr>
        <w:pStyle w:val="Heading1"/>
      </w:pPr>
      <w:r>
        <w:t>3 Przepływ danych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rPr>
          <w:tblHeader w:val="true"/>
          <w:cantSplit/>
        </w:trPr>
        <w:tc>
          <w:tcPr>
            <w:tcW w:type="dxa" w:w="576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7"/>
              </w:rPr>
            </w:r>
          </w:p>
        </w:tc>
        <w:tc>
          <w:tcPr>
            <w:tcW w:type="dxa" w:w="208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7"/>
              </w:rPr>
              <w:t>Etap</w:t>
            </w:r>
          </w:p>
        </w:tc>
        <w:tc>
          <w:tcPr>
            <w:tcW w:type="dxa" w:w="748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7"/>
              </w:rPr>
              <w:t>Działanie bazy</w:t>
            </w:r>
          </w:p>
        </w:tc>
      </w:tr>
      <w:tr>
        <w:trPr>
          <w:cantSplit/>
        </w:trPr>
        <w:tc>
          <w:tcPr>
            <w:tcW w:type="dxa" w:w="57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1</w:t>
            </w:r>
          </w:p>
        </w:tc>
        <w:tc>
          <w:tcPr>
            <w:tcW w:type="dxa" w:w="20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Rejestracja</w:t>
            </w:r>
          </w:p>
        </w:tc>
        <w:tc>
          <w:tcPr>
            <w:tcW w:type="dxa" w:w="74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ctl.forecast_snapshot zapisuje typ, pakiet, wersję, plik i horyzont.</w:t>
            </w:r>
          </w:p>
        </w:tc>
      </w:tr>
      <w:tr>
        <w:trPr>
          <w:cantSplit/>
        </w:trPr>
        <w:tc>
          <w:tcPr>
            <w:tcW w:type="dxa" w:w="57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2</w:t>
            </w:r>
          </w:p>
        </w:tc>
        <w:tc>
          <w:tcPr>
            <w:tcW w:type="dxa" w:w="20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Bufor</w:t>
            </w:r>
          </w:p>
        </w:tc>
        <w:tc>
          <w:tcPr>
            <w:tcW w:type="dxa" w:w="74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Plik jest importowany do odpowiedniej tabeli load.</w:t>
            </w:r>
          </w:p>
        </w:tc>
      </w:tr>
      <w:tr>
        <w:trPr>
          <w:cantSplit/>
        </w:trPr>
        <w:tc>
          <w:tcPr>
            <w:tcW w:type="dxa" w:w="57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3</w:t>
            </w:r>
          </w:p>
        </w:tc>
        <w:tc>
          <w:tcPr>
            <w:tcW w:type="dxa" w:w="20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Zapis RAW</w:t>
            </w:r>
          </w:p>
        </w:tc>
        <w:tc>
          <w:tcPr>
            <w:tcW w:type="dxa" w:w="74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Procedura commit sprawdza metadane i zapisuje dane w jednej transakcji.</w:t>
            </w:r>
          </w:p>
        </w:tc>
      </w:tr>
      <w:tr>
        <w:trPr>
          <w:cantSplit/>
        </w:trPr>
        <w:tc>
          <w:tcPr>
            <w:tcW w:type="dxa" w:w="57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4</w:t>
            </w:r>
          </w:p>
        </w:tc>
        <w:tc>
          <w:tcPr>
            <w:tcW w:type="dxa" w:w="20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Walidacja</w:t>
            </w:r>
          </w:p>
        </w:tc>
        <w:tc>
          <w:tcPr>
            <w:tcW w:type="dxa" w:w="74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STG typuje dane, master-data check sprawdza kartoteki, a audit zapisuje wyniki i wyjątki.</w:t>
            </w:r>
          </w:p>
        </w:tc>
      </w:tr>
      <w:tr>
        <w:trPr>
          <w:cantSplit/>
        </w:trPr>
        <w:tc>
          <w:tcPr>
            <w:tcW w:type="dxa" w:w="57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5</w:t>
            </w:r>
          </w:p>
        </w:tc>
        <w:tc>
          <w:tcPr>
            <w:tcW w:type="dxa" w:w="20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Transformacja</w:t>
            </w:r>
          </w:p>
        </w:tc>
        <w:tc>
          <w:tcPr>
            <w:tcW w:type="dxa" w:w="74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CLEAN przechodzi przez BOM, trasy, odcinki, capacity i alokację przewoźników.</w:t>
            </w:r>
          </w:p>
        </w:tc>
      </w:tr>
      <w:tr>
        <w:trPr>
          <w:cantSplit/>
        </w:trPr>
        <w:tc>
          <w:tcPr>
            <w:tcW w:type="dxa" w:w="57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6</w:t>
            </w:r>
          </w:p>
        </w:tc>
        <w:tc>
          <w:tcPr>
            <w:tcW w:type="dxa" w:w="20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Publikacja</w:t>
            </w:r>
          </w:p>
        </w:tc>
        <w:tc>
          <w:tcPr>
            <w:tcW w:type="dxa" w:w="748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Zwalidowany Tactical jest materializowany w snap i otrzymuje rolę cyklu.</w:t>
            </w:r>
          </w:p>
        </w:tc>
      </w:tr>
      <w:tr>
        <w:trPr>
          <w:cantSplit/>
        </w:trPr>
        <w:tc>
          <w:tcPr>
            <w:tcW w:type="dxa" w:w="57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7"/>
              </w:rPr>
              <w:t>7</w:t>
            </w:r>
          </w:p>
        </w:tc>
        <w:tc>
          <w:tcPr>
            <w:tcW w:type="dxa" w:w="20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Produkcja i stock</w:t>
            </w:r>
          </w:p>
        </w:tc>
        <w:tc>
          <w:tcPr>
            <w:tcW w:type="dxa" w:w="748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7"/>
              </w:rPr>
              <w:t>Wyłącznie Current Tactical zasila plan produkcji i projekcję stocku.</w:t>
            </w:r>
          </w:p>
        </w:tc>
      </w:tr>
    </w:tbl>
    <w:p>
      <w:pPr>
        <w:spacing w:after="40"/>
      </w:pPr>
    </w:p>
    <w:p>
      <w:pPr>
        <w:pStyle w:val="Heading1"/>
      </w:pPr>
      <w:r>
        <w:t>4 Snapshoty i role Tactical</w:t>
      </w:r>
    </w:p>
    <w:p>
      <w:r>
        <w:t>Snapshot rozdziela tożsamość forecastu od rekordów RAW. Klucz forecast_snapshot_id łączy rejestr z danymi wejściowymi, uruchomieniami audytu, scenariuszem capacity i publikacją. Sam import nie zmienia ról Tactical. Rotacja następuje dopiero po atomowej publikacji snapshotu, który ma LOADED oraz PASSED dla intake i pipeline.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1944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Rola</w:t>
            </w:r>
          </w:p>
        </w:tc>
        <w:tc>
          <w:tcPr>
            <w:tcW w:type="dxa" w:w="820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Znaczenie</w:t>
            </w:r>
          </w:p>
        </w:tc>
      </w:tr>
      <w:tr>
        <w:trPr>
          <w:cantSplit/>
        </w:trPr>
        <w:tc>
          <w:tcPr>
            <w:tcW w:type="dxa" w:w="194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CURRENT</w:t>
            </w:r>
          </w:p>
        </w:tc>
        <w:tc>
          <w:tcPr>
            <w:tcW w:type="dxa" w:w="820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Najnowszy opublikowany Tactical; zasila aktywny plan, produkcję i stock.</w:t>
            </w:r>
          </w:p>
        </w:tc>
      </w:tr>
      <w:tr>
        <w:trPr>
          <w:cantSplit/>
        </w:trPr>
        <w:tc>
          <w:tcPr>
            <w:tcW w:type="dxa" w:w="194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PREVIOUS</w:t>
            </w:r>
          </w:p>
        </w:tc>
        <w:tc>
          <w:tcPr>
            <w:tcW w:type="dxa" w:w="820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Bezpośrednio poprzednia publikacja; punkt odniesienia dla zmiany planu.</w:t>
            </w:r>
          </w:p>
        </w:tc>
      </w:tr>
      <w:tr>
        <w:trPr>
          <w:cantSplit/>
        </w:trPr>
        <w:tc>
          <w:tcPr>
            <w:tcW w:type="dxa" w:w="194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HISTORICAL</w:t>
            </w:r>
          </w:p>
        </w:tc>
        <w:tc>
          <w:tcPr>
            <w:tcW w:type="dxa" w:w="820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Starsze publikacje zachowane po kolejnych rotacjach.</w:t>
            </w:r>
          </w:p>
        </w:tc>
      </w:tr>
    </w:tbl>
    <w:p>
      <w:pPr>
        <w:spacing w:after="40"/>
      </w:pPr>
    </w:p>
    <w:p>
      <w:r>
        <w:t>Trigger publikacji zamyka aktywne okresy, przenosi dotychczasowy PREVIOUS do HISTORICAL, dotychczasowy CURRENT do PREVIOUS i zapisuje nowy CURRENT. Historia ról przechowuje daty valid_from_utc i valid_to_utc, użytkownika oraz przyczynę zmiany.</w:t>
      </w:r>
    </w:p>
    <w:p>
      <w:pPr>
        <w:pStyle w:val="Heading1"/>
      </w:pPr>
      <w:r>
        <w:t>5 Przyjęcie danych i kontrola jakości</w:t>
      </w:r>
    </w:p>
    <w:p>
      <w:r>
        <w:t>Tactical ma ziarno jednego pojazdu na rekord; forecast_volume_raw musi być równy 1. Short-Term zachowuje zagregowany wolumen konfiguracji na datę wymaganej dostawy. Oba strumienie przechodzą przez bufor, RAW, techniczne STG, kontrolę master data, CLEAN, exceptions i reconciliation.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187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Warstwa</w:t>
            </w:r>
          </w:p>
        </w:tc>
        <w:tc>
          <w:tcPr>
            <w:tcW w:type="dxa" w:w="828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Odpowiedzialność</w:t>
            </w:r>
          </w:p>
        </w:tc>
      </w:tr>
      <w:tr>
        <w:trPr>
          <w:cantSplit/>
        </w:trPr>
        <w:tc>
          <w:tcPr>
            <w:tcW w:type="dxa" w:w="187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RAW</w:t>
            </w:r>
          </w:p>
        </w:tc>
        <w:tc>
          <w:tcPr>
            <w:tcW w:type="dxa" w:w="82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Wierna treść przyjętego pliku plus identyfikatory techniczne.</w:t>
            </w:r>
          </w:p>
        </w:tc>
      </w:tr>
      <w:tr>
        <w:trPr>
          <w:cantSplit/>
        </w:trPr>
        <w:tc>
          <w:tcPr>
            <w:tcW w:type="dxa" w:w="187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STG</w:t>
            </w:r>
          </w:p>
        </w:tc>
        <w:tc>
          <w:tcPr>
            <w:tcW w:type="dxa" w:w="82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TRIM, TRY_CONVERT, formaty dat i tygodni, kompletność oraz duplikaty.</w:t>
            </w:r>
          </w:p>
        </w:tc>
      </w:tr>
      <w:tr>
        <w:trPr>
          <w:cantSplit/>
        </w:trPr>
        <w:tc>
          <w:tcPr>
            <w:tcW w:type="dxa" w:w="187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Master data</w:t>
            </w:r>
          </w:p>
        </w:tc>
        <w:tc>
          <w:tcPr>
            <w:tcW w:type="dxa" w:w="82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Istnienie i zgodność OEM, modelu, konfiguracji, BOM, produktu, fabryki i logistyki.</w:t>
            </w:r>
          </w:p>
        </w:tc>
      </w:tr>
      <w:tr>
        <w:trPr>
          <w:cantSplit/>
        </w:trPr>
        <w:tc>
          <w:tcPr>
            <w:tcW w:type="dxa" w:w="187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CLEAN</w:t>
            </w:r>
          </w:p>
        </w:tc>
        <w:tc>
          <w:tcPr>
            <w:tcW w:type="dxa" w:w="82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Wyłącznie rekordy spełniające reguły techniczne i kartotekowe.</w:t>
            </w:r>
          </w:p>
        </w:tc>
      </w:tr>
      <w:tr>
        <w:trPr>
          <w:cantSplit/>
        </w:trPr>
        <w:tc>
          <w:tcPr>
            <w:tcW w:type="dxa" w:w="187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Exceptions</w:t>
            </w:r>
          </w:p>
        </w:tc>
        <w:tc>
          <w:tcPr>
            <w:tcW w:type="dxa" w:w="82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Nazwany powód odrzucenia wraz z kluczem biznesowym i właściwą miarą.</w:t>
            </w:r>
          </w:p>
        </w:tc>
      </w:tr>
      <w:tr>
        <w:trPr>
          <w:cantSplit/>
        </w:trPr>
        <w:tc>
          <w:tcPr>
            <w:tcW w:type="dxa" w:w="187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Reconciliation</w:t>
            </w:r>
          </w:p>
        </w:tc>
        <w:tc>
          <w:tcPr>
            <w:tcW w:type="dxa" w:w="82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Uzgodnienie liczby rekordów i wolumenu między RAW, CLEAN i wyjątkami.</w:t>
            </w:r>
          </w:p>
        </w:tc>
      </w:tr>
    </w:tbl>
    <w:p>
      <w:pPr>
        <w:spacing w:after="40"/>
      </w:pPr>
    </w:p>
    <w:p>
      <w:r>
        <w:t>Procedury commit obejmują zapis RAW, aktualizację statusu snapshotu i opróżnienie bufora jedną transakcją z XACT_ABORT. Uprawniony administrator nadal może bezpośrednio zmienić RAW, ponieważ baza nie ma ogólnego triggera blokującego każdy UPDATE i DELETE.</w:t>
      </w:r>
    </w:p>
    <w:p>
      <w:pPr>
        <w:pStyle w:val="Heading1"/>
      </w:pPr>
      <w:r>
        <w:t>6 Popyt komponentowy i sieć transportowa</w:t>
      </w:r>
    </w:p>
    <w:p>
      <w:r>
        <w:t>Poprawny forecast jest łączony z vehicle_product_bom. Wolumen pojazdów jest mnożony przez quantity_per_vehicle, a parametry logistyczne przeliczają sztuki na pallet_equivalent i wagę. Trasa logiczna łączy fabrykę z zakładem OEM, natomiast transport_route_leg_map rozwija ją na uporządkowane fizyczne odcinki.</w:t>
      </w:r>
    </w:p>
    <w:p>
      <w:r>
        <w:t>Terminy odcinków są liczone wstecz od wymaganej daty OEM przy użyciu transit_days i handling_days. Współdzielone odcinki są agregowane na wspólnej osi odbioru. Pojazd powielony przez linie BOM nie może być sumowany jako kilka pojazdów, a paleta przemieszczana przez dwa odcinki reprezentuje pracę na obu odcinkach.</w:t>
      </w:r>
    </w:p>
    <w:p>
      <w:pPr>
        <w:pStyle w:val="Heading1"/>
      </w:pPr>
      <w:r>
        <w:t>7 Capacity i alokacja przewoźników</w:t>
      </w:r>
    </w:p>
    <w:p>
      <w:r>
        <w:t>Bazowa capacity kontraktu wynosi contracted_trucks_per_week pomnożone przez pallets_per_truck. Kontrakty są zużywane według allocation_rank. Nadwyżka ponad łączną capacity pozostaje widoczna, jest przypisywana do kontraktu rank 1 i otrzymuje status OVER_CAPACITY. FULL_CAPACITY oznacza dokładne wykorzystanie limitu, a WITHIN_CAPACITY wynik poniżej limitu.</w:t>
      </w:r>
    </w:p>
    <w:p>
      <w:r>
        <w:t>Scenariusz Tactical wykorzystuje zapisany random_seed i algorytm SHA256_CAP4_V1. Dla każdego snapshotu wybiera powtarzalnie cztery tygodnie oraz trzy kwalifikujące się odcinki na tydzień. Scenariusz przechodzi DRAFT, VALIDATED i LOCKED; po publikacji jego nagłówek, tygodnie i nadpisania kontraktów są chronione triggerami. Short-Term używa bazowych kontraktów bez tych nadpisań.</w:t>
      </w:r>
    </w:p>
    <w:p>
      <w:pPr>
        <w:pStyle w:val="Heading1"/>
      </w:pPr>
      <w:r>
        <w:t>8 Produkcja i projekcja stocku</w:t>
      </w:r>
    </w:p>
    <w:p>
      <w:r>
        <w:t>Produkcja i stock są liczone wyłącznie dla opublikowanego Current Tactical. Harmonogram definiuje production_batch_units, production_frequency_weeks i first_available_week_start dla pary fabryka-produkt. Widok produkcji generuje 16 tygodni horyzontu niezależnie od tego, czy w każdym tygodniu występuje popyt.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rPr>
          <w:tblHeader w:val="true"/>
          <w:cantSplit/>
        </w:trPr>
        <w:tc>
          <w:tcPr>
            <w:tcW w:type="dxa" w:w="331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Element</w:t>
            </w:r>
          </w:p>
        </w:tc>
        <w:tc>
          <w:tcPr>
            <w:tcW w:type="dxa" w:w="684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8"/>
              </w:rPr>
              <w:t>Reguła</w:t>
            </w:r>
          </w:p>
        </w:tc>
      </w:tr>
      <w:tr>
        <w:trPr>
          <w:cantSplit/>
        </w:trPr>
        <w:tc>
          <w:tcPr>
            <w:tcW w:type="dxa" w:w="33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Otwarcie pierwszego tygodnia</w:t>
            </w:r>
          </w:p>
        </w:tc>
        <w:tc>
          <w:tcPr>
            <w:tcW w:type="dxa" w:w="68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effective_initial_stock_units</w:t>
            </w:r>
          </w:p>
        </w:tc>
      </w:tr>
      <w:tr>
        <w:trPr>
          <w:cantSplit/>
        </w:trPr>
        <w:tc>
          <w:tcPr>
            <w:tcW w:type="dxa" w:w="33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Otwarcie kolejnego tygodnia</w:t>
            </w:r>
          </w:p>
        </w:tc>
        <w:tc>
          <w:tcPr>
            <w:tcW w:type="dxa" w:w="68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closing_stock_units z W-1</w:t>
            </w:r>
          </w:p>
        </w:tc>
      </w:tr>
      <w:tr>
        <w:trPr>
          <w:cantSplit/>
        </w:trPr>
        <w:tc>
          <w:tcPr>
            <w:tcW w:type="dxa" w:w="33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Zamknięcie</w:t>
            </w:r>
          </w:p>
        </w:tc>
        <w:tc>
          <w:tcPr>
            <w:tcW w:type="dxa" w:w="68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opening_stock_units + production_units - demand_units</w:t>
            </w:r>
          </w:p>
        </w:tc>
      </w:tr>
      <w:tr>
        <w:trPr>
          <w:cantSplit/>
        </w:trPr>
        <w:tc>
          <w:tcPr>
            <w:tcW w:type="dxa" w:w="33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Brak</w:t>
            </w:r>
          </w:p>
        </w:tc>
        <w:tc>
          <w:tcPr>
            <w:tcW w:type="dxa" w:w="68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8"/>
              </w:rPr>
              <w:t>MAX(0, -closing_stock_units)</w:t>
            </w:r>
          </w:p>
        </w:tc>
      </w:tr>
    </w:tbl>
    <w:p>
      <w:pPr>
        <w:spacing w:after="40"/>
      </w:pPr>
    </w:p>
    <w:p>
      <w:r>
        <w:t>Initial stock jest pokazany tylko w W36, a późniejsze tygodnie przenoszą saldo zamknięcia z W-1. Ujemne saldo pozostaje zaległością w kolejnych tygodniach. Suma shortage_units po tygodniach może więc ponownie obejmować ten sam niezaspokojony popyt i nie jest liczbą unikalnych zamówień.</w:t>
      </w:r>
    </w:p>
    <w:p>
      <w:pPr>
        <w:pStyle w:val="Heading1"/>
      </w:pPr>
      <w:r>
        <w:t>9 Publikacja i audyt</w:t>
      </w:r>
    </w:p>
    <w:p>
      <w:r>
        <w:t>Walidacja intake ocenia RAW i zapisuje dziesięć kontroli. Walidacja Tactical pipeline zapisuje dziewięć kontroli obejmujących przejście RAW do CLEAN, kompletność master data, uzgodnienie komponentów, tras, capacity, 16 tygodni i niepuste wyniki końcowe. Wyniki trafiają do audit.pipeline_run, audit.pipeline_check_result oraz audit.pipeline_exception.</w:t>
      </w:r>
    </w:p>
    <w:p>
      <w:r>
        <w:t>Publikacja Tactical materializuje popyt komponentowy i plan przewoźników w dwóch tabelach snap, zapisuje manifest kontrolny oraz ustawia published_flag w jednej transakcji. Short-Term V04 ma poprawny intake i kontrolę osi czasu, ale nie ma analogicznej fizycznej publikacji ani zapisanego audytu pełnego przepływu; jego pipeline status pozostaje NOT_RUN.</w:t>
      </w:r>
    </w:p>
    <w:p>
      <w:pPr>
        <w:pStyle w:val="Heading1"/>
      </w:pPr>
      <w:r>
        <w:t>10 Katalog tabel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92"/>
        <w:gridCol w:w="2592"/>
        <w:gridCol w:w="2592"/>
        <w:gridCol w:w="2592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SQL</w:t>
            </w:r>
          </w:p>
        </w:tc>
        <w:tc>
          <w:tcPr>
            <w:tcW w:type="dxa" w:w="324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Obiekt</w:t>
            </w:r>
          </w:p>
        </w:tc>
        <w:tc>
          <w:tcPr>
            <w:tcW w:type="dxa" w:w="151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Typ</w:t>
            </w:r>
          </w:p>
        </w:tc>
        <w:tc>
          <w:tcPr>
            <w:tcW w:type="dxa" w:w="456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Rola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SQL-005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audit.pipeline_check_result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Utrwalone wyniki kontroli pipeline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SQL-006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audit.pipeline_exception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Nazwany strumień wyjątków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SQL-007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audit.pipeline_run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Utrwalone uruchomienia pipeline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SQL-008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ctl.forecast_snapshot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Rejestr snapshotów forecastu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SQL-009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ctl.planning_parameters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Konfiguracja cyklu planistycznego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SQL-010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ctl.tactical_capacity_contract_week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Nadpisania capacity właściwe dla snapshotu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SQL-011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ctl.tactical_capacity_scenario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Nagłówek scenariusza capacity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SQL-012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ctl.tactical_capacity_week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Deterministyczny wybór tygodni capacity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SQL-013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ctl.tactical_snapshot_publication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Rejestr publikacji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SQL-013A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ctl.tactical_snapshot_role_history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Utrwalone okresy ról CURRENT, PREVIOUS i HISTORICAL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SQL-014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dbo.carriers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przewoźników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SQL-015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dbo.customer_daily_forecast_raw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Niezmienna warstwa RAW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SQL-016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dbo.customer_forecast_raw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Niezmienna warstwa RAW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SQL-017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dbo.dim_production_week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Kalendarz produkcyjny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SQL-018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dbo.factories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fabryk dostawców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SQL-019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dbo.factory_product_production_schedule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Częstotliwość produkcji i wielkość partii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SQL-020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dbo.factory_stock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Statyczny snapshot stocku fabryk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SQL-021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dbo.network_nodes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Kanoniczna kartoteka węzłów transportowych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SQL-022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dbo.oem_plants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zakładów OEM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SQL-023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dbo.ports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portów zachowana do rozszerzenia sieci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SQL-024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dbo.product_categories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kategorii produktów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SQL-025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dbo.product_logistics_parameters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Parametry paletyzacji produktów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SQL-026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dbo.products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produktów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SQL-027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dbo.transport_physical_leg_carrier_contracts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Kontrakty capacity przewoźników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SQL-028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dbo.transport_physical_legs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Fizyczne odcinki transportowe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SQL-029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dbo.transport_route_leg_map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Uporządkowane mapowanie trasy na odcinki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SQL-030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dbo.transport_routes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Logiczne trasy transportowe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SQL-031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dbo.vehicle_configurations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konfiguracji pojazdów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SQL-032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dbo.vehicle_models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modeli pojazdów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SQL-033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dbo.vehicle_product_bom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BOM komponentów dla modeli pojazdów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SQL-034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dbo.warehouses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Kartoteka magazynów zachowana do rozszerzenia sieci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SQL-035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load.short_term_forecast_file_buffer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Bufor kontrolowanego ładowania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SQL-036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load.tactical_forecast_file_buffer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Bufor kontrolowanego ładowania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SQL-069</w:t>
            </w:r>
          </w:p>
        </w:tc>
        <w:tc>
          <w:tcPr>
            <w:tcW w:type="dxa" w:w="324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snap.tactical_component_demand</w:t>
            </w:r>
          </w:p>
        </w:tc>
        <w:tc>
          <w:tcPr>
            <w:tcW w:type="dxa" w:w="151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 SNAPSHOTOWA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Opublikowany snapshot popytu komponentowego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SQL-085</w:t>
            </w:r>
          </w:p>
        </w:tc>
        <w:tc>
          <w:tcPr>
            <w:tcW w:type="dxa" w:w="324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snap.tactical_carrier_16_week</w:t>
            </w:r>
          </w:p>
        </w:tc>
        <w:tc>
          <w:tcPr>
            <w:tcW w:type="dxa" w:w="151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TABELA SNAPSHOTOWA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Opublikowany snapshot planu przewoźników Tactical</w:t>
            </w:r>
          </w:p>
        </w:tc>
      </w:tr>
    </w:tbl>
    <w:p>
      <w:pPr>
        <w:spacing w:after="40"/>
      </w:pPr>
    </w:p>
    <w:p>
      <w:r>
        <w:t>Pełne typy kolumn, wartości domyślne, CHECK, UNIQUE i klucze podstawowe znajdują się w osobnym rejestrze SQL. Dwie tabele snap dziedziczą kolumny biznesowe z widoków źródłowych przez SELECT TOP (0) INTO, a następnie otrzymują identyfikatory publikacji, klucze i indeksy.</w:t>
      </w:r>
    </w:p>
    <w:p>
      <w:pPr>
        <w:pStyle w:val="Heading1"/>
      </w:pPr>
      <w:r>
        <w:t>11 Katalog widoków</w:t>
      </w:r>
    </w:p>
    <w:p>
      <w:pPr>
        <w:pStyle w:val="Heading2"/>
      </w:pPr>
      <w:r>
        <w:t>Widoki schematu audit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SQL</w:t>
            </w:r>
          </w:p>
        </w:tc>
        <w:tc>
          <w:tcPr>
            <w:tcW w:type="dxa" w:w="3816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Widok</w:t>
            </w:r>
          </w:p>
        </w:tc>
        <w:tc>
          <w:tcPr>
            <w:tcW w:type="dxa" w:w="5501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Działanie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SQL-037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audit.vw_forecast_snapshot_inventory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Inwentaryzacja snapshotów i danych RAW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SQL-038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audit.vw_pipeline_exceptions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Utrwalone szczegóły wyjątków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SQL-039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audit.vw_pipeline_health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Najnowszy utrwalony stan kontroli pipeline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SQL-040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audit.vw_planning_cycle_timeline_check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Kontrole chronologii planowania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SQL-074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audit.vw_current_supply_plan_exceptions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Wyjątki bieżącego planu zaopatrzenia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SQL-078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audit.vw_current_supply_plan_health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Stan jakości bieżącego planu zaopatrzenia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SQL-079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audit.vw_tactical_flow_exceptions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Wyjątki pełnego przepływu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SQL-083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audit.vw_tactical_pipeline_checks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Bieżące kontrole pipeline Tactical</w:t>
            </w:r>
          </w:p>
        </w:tc>
      </w:tr>
    </w:tbl>
    <w:p>
      <w:pPr>
        <w:spacing w:after="40"/>
      </w:pPr>
    </w:p>
    <w:p>
      <w:pPr>
        <w:pStyle w:val="Heading2"/>
      </w:pPr>
      <w:r>
        <w:t>Widoki schematu ctl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SQL</w:t>
            </w:r>
          </w:p>
        </w:tc>
        <w:tc>
          <w:tcPr>
            <w:tcW w:type="dxa" w:w="3816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Widok</w:t>
            </w:r>
          </w:p>
        </w:tc>
        <w:tc>
          <w:tcPr>
            <w:tcW w:type="dxa" w:w="5501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Działanie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SQL-041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ctl.vw_active_short_term_snapshot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Wybór aktywnego snapshotu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SQL-042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ctl.vw_tactical_snapshot_role_history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Pełna historia utrwalonych przypisań ról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SQL-042A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ctl.vw_tactical_snapshot_role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Aktywna, utrwalona rola każdego opublikowanego snapshotu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SQL-043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ctl.vw_current_tactical_snapshot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Wybór Current Tactical na podstawie utrwalonego rejestru ról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SQL-043A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ctl.vw_previous_tactical_snapshot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Wybór Previous Tactical na podstawie utrwalonego rejestru ról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SQL-043B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ctl.vw_historical_tactical_snapshots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Wybór metadanych snapshotów Tactical z aktywną rolą HISTORICAL</w:t>
            </w:r>
          </w:p>
        </w:tc>
      </w:tr>
    </w:tbl>
    <w:p>
      <w:pPr>
        <w:spacing w:after="40"/>
      </w:pPr>
    </w:p>
    <w:p>
      <w:pPr>
        <w:pStyle w:val="Heading2"/>
      </w:pPr>
      <w:r>
        <w:t>Widoki schematu dbo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SQL</w:t>
            </w:r>
          </w:p>
        </w:tc>
        <w:tc>
          <w:tcPr>
            <w:tcW w:type="dxa" w:w="3816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Widok</w:t>
            </w:r>
          </w:p>
        </w:tc>
        <w:tc>
          <w:tcPr>
            <w:tcW w:type="dxa" w:w="5501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Działanie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SQL-044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dbo.vw_customer_daily_forecast_stg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Techniczna warstwa STG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SQL-045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dbo.vw_customer_forecast_stg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Techniczna warstwa STG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SQL-053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dbo.vw_customer_daily_forecast_masterdata_check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Kontrola master data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SQL-054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dbo.vw_customer_forecast_masterdata_check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Kontrola master data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SQL-055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dbo.vw_factory_weekly_production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Planowana produkcja wyłącznie dla Current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SQL-056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dbo.vw_pbi_tactical_capacity_scenario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Metadane scenariusza capacity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SQL-057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dbo.vw_customer_daily_forecast_clean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Warstwa CLEAN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SQL-058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dbo.vw_customer_daily_forecast_exceptions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Wyjątki źródłowe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SQL-059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dbo.vw_customer_forecast_clean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Warstwa CLEAN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SQL-060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dbo.vw_customer_forecast_exceptions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Wyjątki źródłowe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SQL-061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dbo.vw_component_demand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komponentowy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SQL-062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dbo.vw_customer_daily_forecast_reconciliation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Uzgodnienie rekordów i wolumenu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SQL-063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dbo.vw_customer_forecast_reconciliation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Uzgodnienie rekordów i wolumenu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SQL-064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dbo.vw_daily_component_demand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komponentowy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SQL-065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dbo.vw_daily_transport_physical_leg_schedule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Harmonogram tras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SQL-066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dbo.vw_daily_transport_requirement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Zapotrzebowanie transportowe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SQL-067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dbo.vw_transport_physical_leg_schedule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Harmonogram tras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SQL-068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dbo.vw_transport_requirement_weekly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Zapotrzebowanie transportowe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SQL-070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dbo.vw_daily_transport_physical_leg_demand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Short-Term na fizycznych odcinkach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SQL-071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dbo.vw_factory_production_requirement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Zapotrzebowanie produkcyjne Current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SQL-072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dbo.vw_pbi_tactical_component_demand_all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Techniczne połączenie wszystkich opublikowanych snapshotów popytu komponentowego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SQL-072A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dbo.vw_pbi_tactical_component_demand_current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komponentowy dla Current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SQL-072B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dbo.vw_pbi_tactical_component_demand_previous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komponentowy dla Previous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SQL-072C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dbo.vw_pbi_tactical_component_demand_historical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Historyczny popyt komponentowy Tactical bez Current i Previous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SQL-072D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dbo.vw_pbi_tactical_component_demand_history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Połączony popyt komponentowy Current i Previous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SQL-073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dbo.vw_transport_physical_leg_weekly_demand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Popyt Tactical na fizycznych odcinkach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SQL-075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dbo.vw_daily_transport_carrier_allocation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Alokacja przewoźników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SQL-076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dbo.vw_factory_stock_projection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Projekcja stocku SQL wyłącznie dla Current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SQL-077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dbo.vw_transport_carrier_allocation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Alokacja przewoźników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SQL-080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dbo.vw_carrier_14_day_forecast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Końcowy 14-dniowy wynik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SQL-081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dbo.vw_carrier_16_week_forecast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Końcowy 16-tygodniowy wynik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SQL-082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dbo.vw_short_physical_leg_weekly_capacity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Pomocnicza tygodniowa capacity Short-Term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SQL-084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dbo.vw_pbi_short_term_carrier_plan_health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Agregat kontroli jakości planu Short-Term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SQL-087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dbo.vw_pbi_tactical_16_week_all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Techniczne połączenie wszystkich opublikowanych planów przewoźników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SQL-087A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dbo.vw_pbi_tactical_16_week_current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Plan przewoźników dla Current Tactical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SQL-087B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dbo.vw_pbi_tactical_16_week_previous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Plan przewoźników dla Previous Tactical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SQL-087C</w:t>
            </w:r>
          </w:p>
        </w:tc>
        <w:tc>
          <w:tcPr>
            <w:tcW w:type="dxa" w:w="3816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dbo.vw_pbi_tactical_16_week_historical</w:t>
            </w:r>
          </w:p>
        </w:tc>
        <w:tc>
          <w:tcPr>
            <w:tcW w:type="dxa" w:w="5501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Historyczne plany przewoźników Tactical bez Current i Previous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SQL-087D</w:t>
            </w:r>
          </w:p>
        </w:tc>
        <w:tc>
          <w:tcPr>
            <w:tcW w:type="dxa" w:w="3816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dbo.vw_pbi_tactical_16_week_history</w:t>
            </w:r>
          </w:p>
        </w:tc>
        <w:tc>
          <w:tcPr>
            <w:tcW w:type="dxa" w:w="5501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Połączone plany przewoźników Current i Previous Tactical</w:t>
            </w:r>
          </w:p>
        </w:tc>
      </w:tr>
    </w:tbl>
    <w:p>
      <w:pPr>
        <w:spacing w:after="40"/>
      </w:pPr>
    </w:p>
    <w:p>
      <w:pPr>
        <w:pStyle w:val="Heading1"/>
      </w:pPr>
      <w:r>
        <w:t>12 Procedury i triggery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592"/>
        <w:gridCol w:w="2592"/>
        <w:gridCol w:w="2592"/>
        <w:gridCol w:w="2592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SQL</w:t>
            </w:r>
          </w:p>
        </w:tc>
        <w:tc>
          <w:tcPr>
            <w:tcW w:type="dxa" w:w="352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Obiekt</w:t>
            </w:r>
          </w:p>
        </w:tc>
        <w:tc>
          <w:tcPr>
            <w:tcW w:type="dxa" w:w="1224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Typ</w:t>
            </w:r>
          </w:p>
        </w:tc>
        <w:tc>
          <w:tcPr>
            <w:tcW w:type="dxa" w:w="456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6"/>
              </w:rPr>
              <w:t>Działanie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SQL-046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audit.usp_validate_snapshot_intake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Uruchamia i zapisuje dziesięć kontroli przyjęcia RAW, rejestruje wyjątki oraz aktualizuje status intake snapshotu.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SQL-047</w:t>
            </w:r>
          </w:p>
        </w:tc>
        <w:tc>
          <w:tcPr>
            <w:tcW w:type="dxa" w:w="352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ctl.usp_commit_short_term_file_buffer</w:t>
            </w:r>
          </w:p>
        </w:tc>
        <w:tc>
          <w:tcPr>
            <w:tcW w:type="dxa" w:w="122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Waliduje bufor Short-Term, zapisuje go transakcyjnie do RAW i może aktywować snapshot w cyklu planistycznym.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SQL-048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ctl.usp_commit_tactical_file_buffer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Waliduje jednostkową ziarnistość Tactical, zapisuje bufor do RAW i zeruje statusy walidacji przed kontrolowanym ponownym przebiegiem.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SQL-049</w:t>
            </w:r>
          </w:p>
        </w:tc>
        <w:tc>
          <w:tcPr>
            <w:tcW w:type="dxa" w:w="352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ctl.trg_forecast_snapshot_lock_capacity</w:t>
            </w:r>
          </w:p>
        </w:tc>
        <w:tc>
          <w:tcPr>
            <w:tcW w:type="dxa" w:w="122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TRIGGER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Wymaga zwalidowanego scenariusza capacity przed publikacją Tactical i blokuje ten scenariusz podczas publikacji.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SQL-050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ctl.trg_tactical_capacity_contract_protect_locked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TRIGGER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Blokuje INSERT, UPDATE i DELETE nadpisań kontraktów należących do zablokowanego scenariusza capacity.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SQL-051</w:t>
            </w:r>
          </w:p>
        </w:tc>
        <w:tc>
          <w:tcPr>
            <w:tcW w:type="dxa" w:w="352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ctl.trg_tactical_capacity_scenario_protect_locked</w:t>
            </w:r>
          </w:p>
        </w:tc>
        <w:tc>
          <w:tcPr>
            <w:tcW w:type="dxa" w:w="122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TRIGGER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Blokuje zmianę i usunięcie nagłówka zablokowanego scenariusza capacity.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SQL-052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ctl.trg_tactical_capacity_week_protect_locked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TRIGGER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Blokuje zmianę wyboru tygodni capacity należących do zablokowanego scenariusza.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SQL-052A</w:t>
            </w:r>
          </w:p>
        </w:tc>
        <w:tc>
          <w:tcPr>
            <w:tcW w:type="dxa" w:w="352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ctl.trg_tactical_snapshot_publication_role_lifecycle</w:t>
            </w:r>
          </w:p>
        </w:tc>
        <w:tc>
          <w:tcPr>
            <w:tcW w:type="dxa" w:w="122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TRIGGER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Atomowo rotuje role CURRENT, PREVIOUS i HISTORICAL po zapisaniu zwalidowanej publikacji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SQL-086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ctl.usp_build_tactical_capacity_scenario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Buduje powtarzalny scenariusz stresowy capacity, wybiera cztery tygodnie i waliduje wynikowe nadpisania kontraktów.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SQL-088</w:t>
            </w:r>
          </w:p>
        </w:tc>
        <w:tc>
          <w:tcPr>
            <w:tcW w:type="dxa" w:w="352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audit.usp_validate_tactical_pipeline</w:t>
            </w:r>
          </w:p>
        </w:tc>
        <w:tc>
          <w:tcPr>
            <w:tcW w:type="dxa" w:w="1224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Uruchamia i zapisuje dziewięć kontroli pełnego przepływu Tactical od RAW do popytu komponentowego i alokacji przewoźników.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SQL-089</w:t>
            </w:r>
          </w:p>
        </w:tc>
        <w:tc>
          <w:tcPr>
            <w:tcW w:type="dxa" w:w="352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ctl.usp_publish_tactical_snapshot</w:t>
            </w:r>
          </w:p>
        </w:tc>
        <w:tc>
          <w:tcPr>
            <w:tcW w:type="dxa" w:w="1224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6"/>
              </w:rPr>
              <w:t>PROCEDURA</w:t>
            </w:r>
          </w:p>
        </w:tc>
        <w:tc>
          <w:tcPr>
            <w:tcW w:type="dxa" w:w="456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6"/>
              </w:rPr>
              <w:t>Publikuje zwalidowany popyt komponentowy i plan przewoźników Tactical do fizycznych tabel snapshotowych w jednej transakcji.</w:t>
            </w:r>
          </w:p>
        </w:tc>
      </w:tr>
    </w:tbl>
    <w:p>
      <w:pPr>
        <w:spacing w:after="40"/>
      </w:pPr>
    </w:p>
    <w:p>
      <w:r>
        <w:t>Procedury są jedynymi przewidzianymi operacjami kontrolowanego ładowania, walidacji, budowy scenariusza i publikacji. Triggery chronią zablokowany scenariusz capacity i obsługują zmianę ról przy publikacji; nie zastępują systemu uprawnień ani pełnej ochrony wszystkich tabel.</w:t>
      </w:r>
    </w:p>
    <w:p>
      <w:pPr>
        <w:pStyle w:val="Heading1"/>
      </w:pPr>
      <w:r>
        <w:t>13 Relacje i integralność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2074"/>
        <w:gridCol w:w="2074"/>
        <w:gridCol w:w="2074"/>
        <w:gridCol w:w="2074"/>
        <w:gridCol w:w="2074"/>
      </w:tblGrid>
      <w:tr>
        <w:trPr>
          <w:tblHeader w:val="true"/>
          <w:cantSplit/>
        </w:trPr>
        <w:tc>
          <w:tcPr>
            <w:tcW w:type="dxa" w:w="749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4"/>
              </w:rPr>
              <w:t>SQL</w:t>
            </w:r>
          </w:p>
        </w:tc>
        <w:tc>
          <w:tcPr>
            <w:tcW w:type="dxa" w:w="288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4"/>
              </w:rPr>
              <w:t>Tabela podrzędna</w:t>
            </w:r>
          </w:p>
        </w:tc>
        <w:tc>
          <w:tcPr>
            <w:tcW w:type="dxa" w:w="180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4"/>
              </w:rPr>
              <w:t>Kolumna</w:t>
            </w:r>
          </w:p>
        </w:tc>
        <w:tc>
          <w:tcPr>
            <w:tcW w:type="dxa" w:w="288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4"/>
              </w:rPr>
              <w:t>Tabela nadrzędna</w:t>
            </w:r>
          </w:p>
        </w:tc>
        <w:tc>
          <w:tcPr>
            <w:tcW w:type="dxa" w:w="1843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4"/>
              </w:rPr>
              <w:t>Klucz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SQL-090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dbo.product_logistics_parameters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product_id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product_id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SQL-091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dbo.vehicle_product_bom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supply_factory_id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dbo.factories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factory_id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SQL-092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dbo.vehicle_product_bom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product_id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product_id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SQL-093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dbo.vehicle_product_bom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vehicle_model_id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dbo.vehicle_models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vehicle_model_id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SQL-094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dbo.vehicle_configurations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vehicle_model_id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dbo.vehicle_models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vehicle_model_id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SQL-095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dbo.vehicle_models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oem_plant_id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dbo.oem_plants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oem_plant_id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SQL-096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dbo.customer_forecast_raw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SQL-097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primary_factory_id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dbo.factories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factory_id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SQL-098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category_id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dbo.product_categories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category_id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SQL-099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dbo.transport_routes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destination_node_id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dbo.network_nodes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node_id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SQL-100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dbo.transport_routes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origin_node_id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dbo.network_nodes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node_id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SQL-101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destination_node_id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dbo.network_nodes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node_id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SQL-102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origin_node_id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dbo.network_nodes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node_id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SQL-103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dbo.transport_route_leg_map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SQL-104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dbo.transport_route_leg_map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route_id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dbo.transport_routes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route_id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SQL-105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dbo.customer_daily_forecast_raw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SQL-106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dbo.transport_physical_leg_carrier_contracts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carrier_id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dbo.carriers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carrier_id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SQL-107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dbo.transport_physical_leg_carrier_contracts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dbo.transport_physical_legs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SQL-108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ctl.planning_parameters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previous_tactical_snapshot_id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SQL-109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ctl.planning_parameters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short_term_snapshot_id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SQL-110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ctl.planning_parameters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current_tactical_snapshot_id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SQL-111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audit.pipeline_run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SQL-112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audit.pipeline_run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planning_parameter_id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ctl.planning_parameters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planning_parameter_id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SQL-113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audit.pipeline_check_result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pipeline_run_id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audit.pipeline_run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pipeline_run_id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SQL-114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audit.pipeline_exception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check_result_id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audit.pipeline_check_result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check_result_id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SQL-115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ctl.tactical_snapshot_publication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SQL-116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ctl.tactical_capacity_scenario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ctl.forecast_snapshot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forecast_snapshot_id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SQL-117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ctl.tactical_capacity_week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ctl.tactical_capacity_scenario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SQL-118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ctl.tactical_capacity_contract_week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ctl.tactical_capacity_scenario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</w:t>
            </w:r>
          </w:p>
        </w:tc>
      </w:tr>
      <w:tr>
        <w:trPr>
          <w:cantSplit/>
        </w:trPr>
        <w:tc>
          <w:tcPr>
            <w:tcW w:type="dxa" w:w="74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SQL-119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ctl.tactical_capacity_contract_week</w:t>
            </w:r>
          </w:p>
        </w:tc>
        <w:tc>
          <w:tcPr>
            <w:tcW w:type="dxa" w:w="180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capacity_scenario_id, pickup_week_start</w:t>
            </w:r>
          </w:p>
        </w:tc>
        <w:tc>
          <w:tcPr>
            <w:tcW w:type="dxa" w:w="288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ctl.tactical_capacity_week</w:t>
            </w:r>
          </w:p>
        </w:tc>
        <w:tc>
          <w:tcPr>
            <w:tcW w:type="dxa" w:w="184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capacity_scenario_id, pickup_week_start</w:t>
            </w:r>
          </w:p>
        </w:tc>
      </w:tr>
      <w:tr>
        <w:trPr>
          <w:cantSplit/>
        </w:trPr>
        <w:tc>
          <w:tcPr>
            <w:tcW w:type="dxa" w:w="74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sz w:val="14"/>
              </w:rPr>
              <w:t>SQL-120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ctl.tactical_capacity_contract_week</w:t>
            </w:r>
          </w:p>
        </w:tc>
        <w:tc>
          <w:tcPr>
            <w:tcW w:type="dxa" w:w="180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physical_leg_carrier_contract_id</w:t>
            </w:r>
          </w:p>
        </w:tc>
        <w:tc>
          <w:tcPr>
            <w:tcW w:type="dxa" w:w="288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dbo.transport_physical_leg_carrier_contracts</w:t>
            </w:r>
          </w:p>
        </w:tc>
        <w:tc>
          <w:tcPr>
            <w:tcW w:type="dxa" w:w="184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4"/>
              </w:rPr>
              <w:t>physical_leg_carrier_contract_id</w:t>
            </w:r>
          </w:p>
        </w:tc>
      </w:tr>
    </w:tbl>
    <w:p>
      <w:pPr>
        <w:spacing w:after="40"/>
      </w:pPr>
    </w:p>
    <w:p>
      <w:r>
        <w:t>Rejestr zawiera 31 relacji zakładanych po utworzeniu obiektów. Dodatkowe klucze tabel snapshotowych oraz historii ról są definiowane razem z tymi tabelami. Relacje logiczne realizowane w JOIN nie są automatycznie kluczami obcymi.</w:t>
      </w:r>
    </w:p>
    <w:p>
      <w:pPr>
        <w:pStyle w:val="Heading1"/>
      </w:pPr>
      <w:r>
        <w:t>14 Indeksy i wydajność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rPr>
          <w:tblHeader w:val="true"/>
          <w:cantSplit/>
        </w:trPr>
        <w:tc>
          <w:tcPr>
            <w:tcW w:type="dxa" w:w="83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SQL</w:t>
            </w:r>
          </w:p>
        </w:tc>
        <w:tc>
          <w:tcPr>
            <w:tcW w:type="dxa" w:w="4392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Indeks</w:t>
            </w:r>
          </w:p>
        </w:tc>
        <w:tc>
          <w:tcPr>
            <w:tcW w:type="dxa" w:w="4997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Zastosowanie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SQL-121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ctl.planning_parameters.UX_planning_parameters_one_active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Tworzy filtrowany indeks unikalny dopuszczający tylko jeden aktywny zestaw parametrów planowania.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SQL-122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dbo.customer_forecast_raw.IX_customer_forecast_raw_snapshot_source_row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Indeksuje RAW Tactical po snapshotcie i identyfikatorze wiersza źródłowego na potrzeby walidacji i wykrywania duplikatów.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SQL-123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dbo.customer_daily_forecast_raw.IX_customer_daily_forecast_raw_snapshot_source_row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Indeksuje RAW Short-Term po snapshotcie i identyfikatorze wiersza źródłowego na potrzeby walidacji i wykrywania duplikatów.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SQL-124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audit.pipeline_run.IX_pipeline_run_snapshot_started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odczyt najnowszych uruchomień pipeline dla snapshotu.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SQL-125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audit.pipeline_check_result.IX_pipeline_check_result_status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filtrowanie kontroli pipeline po uruchomieniu, statusie i poziomie istotności.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SQL-126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audit.pipeline_exception.IX_pipeline_exception_result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odczyt wyjątków należących do wyniku kontroli pipeline.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SQL-127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snap.tactical_component_demand.IX_snap_component_snapshot_week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odczyt opublikowanego popytu komponentowego po snapshotcie i tygodniu.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SQL-128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snap.tactical_carrier_16_week.IX_snap_carrier_snapshot_week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odczyt opublikowanego planu przewoźników po snapshotcie, tygodniu odbioru, przewoźniku i odcinku.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SQL-129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ctl.tactical_snapshot_role_history.UX_tactical_role_history_one_open_per_snapshot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Dopuszcza tylko jeden otwarty okres roli dla każdego snapshotu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SQL-130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ctl.tactical_snapshot_role_history.UX_tactical_role_history_one_current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Dopuszcza tylko jedną aktywną rolę CURRENT Tactical.</w:t>
            </w:r>
          </w:p>
        </w:tc>
      </w:tr>
      <w:tr>
        <w:trPr>
          <w:cantSplit/>
        </w:trPr>
        <w:tc>
          <w:tcPr>
            <w:tcW w:type="dxa" w:w="83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SQL-131</w:t>
            </w:r>
          </w:p>
        </w:tc>
        <w:tc>
          <w:tcPr>
            <w:tcW w:type="dxa" w:w="4392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ctl.tactical_snapshot_role_history.UX_tactical_role_history_one_previous</w:t>
            </w:r>
          </w:p>
        </w:tc>
        <w:tc>
          <w:tcPr>
            <w:tcW w:type="dxa" w:w="499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Dopuszcza tylko jedną aktywną rolę PREVIOUS Tactical.</w:t>
            </w:r>
          </w:p>
        </w:tc>
      </w:tr>
      <w:tr>
        <w:trPr>
          <w:cantSplit/>
        </w:trPr>
        <w:tc>
          <w:tcPr>
            <w:tcW w:type="dxa" w:w="83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SQL-132</w:t>
            </w:r>
          </w:p>
        </w:tc>
        <w:tc>
          <w:tcPr>
            <w:tcW w:type="dxa" w:w="4392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ctl.tactical_snapshot_role_history.IX_tactical_role_history_role_period</w:t>
            </w:r>
          </w:p>
        </w:tc>
        <w:tc>
          <w:tcPr>
            <w:tcW w:type="dxa" w:w="499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r>
              <w:rPr>
                <w:rFonts w:ascii="Arial" w:hAnsi="Arial" w:eastAsia="Arial"/>
                <w:sz w:val="15"/>
              </w:rPr>
              <w:t>Wspiera odczyt aktywnych i historycznych ról Tactical według roli i okresu ważności.</w:t>
            </w:r>
          </w:p>
        </w:tc>
      </w:tr>
    </w:tbl>
    <w:p>
      <w:pPr>
        <w:spacing w:after="40"/>
      </w:pPr>
    </w:p>
    <w:p>
      <w:r>
        <w:t>Indeksy jawne uzupełniają indeksy tworzone przez PRIMARY KEY i UNIQUE. Audyt wskazał 18 kluczy obcych bez indeksu rozpoczynającego się od kolumny FK. Są to kandydaci do oceny na podstawie planów wykonania, a nie automatyczna lista indeksów do utworzenia. Kosztowne odczyty powinny korzystać z fizycznych publikacji i zapisanych wyników walidacji, gdy dostępny jest właściwy snapshot.</w:t>
      </w:r>
    </w:p>
    <w:p>
      <w:pPr>
        <w:pStyle w:val="Heading1"/>
      </w:pPr>
      <w:r>
        <w:t>15 Potwierdzony stan demonstracyjny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1728"/>
        <w:gridCol w:w="1728"/>
        <w:gridCol w:w="1728"/>
        <w:gridCol w:w="1728"/>
        <w:gridCol w:w="1728"/>
        <w:gridCol w:w="1728"/>
      </w:tblGrid>
      <w:tr>
        <w:trPr>
          <w:tblHeader w:val="true"/>
          <w:cantSplit/>
        </w:trPr>
        <w:tc>
          <w:tcPr>
            <w:tcW w:type="dxa" w:w="1325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Strumień</w:t>
            </w:r>
          </w:p>
        </w:tc>
        <w:tc>
          <w:tcPr>
            <w:tcW w:type="dxa" w:w="2520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Snapshot</w:t>
            </w:r>
          </w:p>
        </w:tc>
        <w:tc>
          <w:tcPr>
            <w:tcW w:type="dxa" w:w="1123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Pojazdy</w:t>
            </w:r>
          </w:p>
        </w:tc>
        <w:tc>
          <w:tcPr>
            <w:tcW w:type="dxa" w:w="1469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Komponenty</w:t>
            </w:r>
          </w:p>
        </w:tc>
        <w:tc>
          <w:tcPr>
            <w:tcW w:type="dxa" w:w="1037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Palety</w:t>
            </w:r>
          </w:p>
        </w:tc>
        <w:tc>
          <w:tcPr>
            <w:tcW w:type="dxa" w:w="2678"/>
            <w:shd w:fill="243B53"/>
            <w:tcMar>
              <w:top w:w="100" w:type="dxa"/>
              <w:start w:w="100" w:type="dxa"/>
              <w:bottom w:w="100" w:type="dxa"/>
              <w:end w:w="100" w:type="dxa"/>
            </w:tcMar>
            <w:vAlign w:val="center"/>
          </w:tcPr>
          <w:p>
            <w:pPr>
              <w:jc w:val="center"/>
            </w:pPr>
            <w:r>
              <w:rPr>
                <w:rFonts w:ascii="Arial" w:hAnsi="Arial" w:eastAsia="Arial"/>
                <w:b/>
                <w:color w:val="FFFFFF"/>
                <w:sz w:val="15"/>
              </w:rPr>
              <w:t>Capacity</w:t>
            </w:r>
          </w:p>
        </w:tc>
      </w:tr>
      <w:tr>
        <w:trPr>
          <w:cantSplit/>
        </w:trPr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Previous Tactical</w:t>
            </w:r>
          </w:p>
        </w:tc>
        <w:tc>
          <w:tcPr>
            <w:tcW w:type="dxa" w:w="252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TACTICAL_2026-07-31_V03</w:t>
            </w:r>
          </w:p>
        </w:tc>
        <w:tc>
          <w:tcPr>
            <w:tcW w:type="dxa" w:w="112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150 000</w:t>
            </w:r>
          </w:p>
        </w:tc>
        <w:tc>
          <w:tcPr>
            <w:tcW w:type="dxa" w:w="146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2 854 788</w:t>
            </w:r>
          </w:p>
        </w:tc>
        <w:tc>
          <w:tcPr>
            <w:tcW w:type="dxa" w:w="103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55 593</w:t>
            </w:r>
          </w:p>
        </w:tc>
        <w:tc>
          <w:tcPr>
            <w:tcW w:type="dxa" w:w="267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4 tygodnie, 12 dodatkowych aut</w:t>
            </w:r>
          </w:p>
        </w:tc>
      </w:tr>
      <w:tr>
        <w:trPr>
          <w:cantSplit/>
        </w:trPr>
        <w:tc>
          <w:tcPr>
            <w:tcW w:type="dxa" w:w="1325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Current Tactical</w:t>
            </w:r>
          </w:p>
        </w:tc>
        <w:tc>
          <w:tcPr>
            <w:tcW w:type="dxa" w:w="2520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TACTICAL_2026-08-28_V01</w:t>
            </w:r>
          </w:p>
        </w:tc>
        <w:tc>
          <w:tcPr>
            <w:tcW w:type="dxa" w:w="1123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165 000</w:t>
            </w:r>
          </w:p>
        </w:tc>
        <w:tc>
          <w:tcPr>
            <w:tcW w:type="dxa" w:w="1469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3 139 964</w:t>
            </w:r>
          </w:p>
        </w:tc>
        <w:tc>
          <w:tcPr>
            <w:tcW w:type="dxa" w:w="1037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61 122</w:t>
            </w:r>
          </w:p>
        </w:tc>
        <w:tc>
          <w:tcPr>
            <w:tcW w:type="dxa" w:w="2678"/>
            <w:shd w:fill="F3F6F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4 tygodnie, 12 dodatkowych aut</w:t>
            </w:r>
          </w:p>
        </w:tc>
      </w:tr>
      <w:tr>
        <w:trPr>
          <w:cantSplit/>
        </w:trPr>
        <w:tc>
          <w:tcPr>
            <w:tcW w:type="dxa" w:w="1325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Short-Term</w:t>
            </w:r>
          </w:p>
        </w:tc>
        <w:tc>
          <w:tcPr>
            <w:tcW w:type="dxa" w:w="2520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SHORT_TERM_2026-08-17_V04</w:t>
            </w:r>
          </w:p>
        </w:tc>
        <w:tc>
          <w:tcPr>
            <w:tcW w:type="dxa" w:w="1123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13 485</w:t>
            </w:r>
          </w:p>
        </w:tc>
        <w:tc>
          <w:tcPr>
            <w:tcW w:type="dxa" w:w="1469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nie dotyczy</w:t>
            </w:r>
          </w:p>
        </w:tc>
        <w:tc>
          <w:tcPr>
            <w:tcW w:type="dxa" w:w="1037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right"/>
            </w:pPr>
            <w:r>
              <w:rPr>
                <w:rFonts w:ascii="Arial" w:hAnsi="Arial" w:eastAsia="Arial"/>
                <w:sz w:val="15"/>
              </w:rPr>
              <w:t>4 065</w:t>
            </w:r>
          </w:p>
        </w:tc>
        <w:tc>
          <w:tcPr>
            <w:tcW w:type="dxa" w:w="2678"/>
            <w:tcMar>
              <w:top w:w="80" w:type="dxa"/>
              <w:start w:w="95" w:type="dxa"/>
              <w:bottom w:w="80" w:type="dxa"/>
              <w:end w:w="95" w:type="dxa"/>
            </w:tcMar>
            <w:vAlign w:val="center"/>
          </w:tcPr>
          <w:p>
            <w:pPr>
              <w:jc w:val="left"/>
            </w:pPr>
            <w:r>
              <w:rPr>
                <w:rFonts w:ascii="Arial" w:hAnsi="Arial" w:eastAsia="Arial"/>
                <w:sz w:val="15"/>
              </w:rPr>
              <w:t>14 dni odbioru, 38 dodatkowych aut</w:t>
            </w:r>
          </w:p>
        </w:tc>
      </w:tr>
    </w:tbl>
    <w:p>
      <w:pPr>
        <w:spacing w:after="40"/>
      </w:pPr>
    </w:p>
    <w:p>
      <w:r>
        <w:t>Projekcja stocku zawiera 2 160 rekordów, czyli 135 par fabryka-produkt przez 16 tygodni W36-W51. Kontrolowany niedobór występuje dokładnie przez trzy tygodnie w FAC001 i FAC002. Audyt z 11.09.2026 zakończył się wynikiem PASS_WITH_WARNINGS: 70 PASS, 6 WARN, 0 FAIL i 4 INFO. Zmiany ról i rozdzielenie interfejsów Tactical wdrożone 13.09 zostały sprawdzone kontrolami akceptacyjnymi, lecz pełny audyt nie był po nich ponownie uruchamiany.</w:t>
      </w:r>
    </w:p>
    <w:p>
      <w:pPr>
        <w:pStyle w:val="Heading1"/>
      </w:pPr>
      <w:r>
        <w:t>16 Ograniczenia i znane ryzyka</w:t>
      </w:r>
    </w:p>
    <w:p>
      <w:pPr>
        <w:pStyle w:val="ListBullet"/>
        <w:spacing w:after="60"/>
      </w:pPr>
      <w:r>
        <w:t>Brak danych actual uniemożliwia pomiar wykonania, forecast accuracy i rzeczywistych oszczędności.</w:t>
      </w:r>
    </w:p>
    <w:p>
      <w:pPr>
        <w:pStyle w:val="ListBullet"/>
        <w:spacing w:after="60"/>
      </w:pPr>
      <w:r>
        <w:t>Short-Term nie ma fizycznej publikacji i pełnego trwałego audytu analogicznego do Tactical.</w:t>
      </w:r>
    </w:p>
    <w:p>
      <w:pPr>
        <w:pStyle w:val="ListBullet"/>
        <w:spacing w:after="60"/>
      </w:pPr>
      <w:r>
        <w:t>Część liczbowych i datopodobnych atrybutów master data jest przechowywana jako tekst.</w:t>
      </w:r>
    </w:p>
    <w:p>
      <w:pPr>
        <w:pStyle w:val="ListBullet"/>
        <w:spacing w:after="60"/>
      </w:pPr>
      <w:r>
        <w:t>Brak trwałej tabeli wersji schematu i temporal history dla zmiennych kartotek.</w:t>
      </w:r>
    </w:p>
    <w:p>
      <w:pPr>
        <w:pStyle w:val="ListBullet"/>
        <w:spacing w:after="60"/>
      </w:pPr>
      <w:r>
        <w:t>RAW jest chronione procesem i procedurami, ale nie uniwersalnym zakazem bezpośredniego DML.</w:t>
      </w:r>
    </w:p>
    <w:p>
      <w:pPr>
        <w:pStyle w:val="ListBullet"/>
        <w:spacing w:after="60"/>
      </w:pPr>
      <w:r>
        <w:t>Scenariusze overcapacity i shortage są zaprojektowanymi przypadkami demonstracyjnymi, a nie zarejestrowanymi zdarzeniami operacyjnymi.</w:t>
      </w:r>
    </w:p>
    <w:p>
      <w:pPr>
        <w:pStyle w:val="Heading1"/>
      </w:pPr>
      <w:r>
        <w:t>17 Rejestr SQL i odtworzenie struktury</w:t>
      </w:r>
    </w:p>
    <w:p>
      <w:r>
        <w:t>Osobny rejestr SQL zawiera 145 numerowanych wpisów uporządkowanych według zależności. Tworzy wyłącznie końcowy schemat w pustej bazie: schematy, tabele, widoki, procedury, triggery, klucze obce i indeksy. Nie zawiera migracji, hotfixów, cleanup, danych CSV, seedów kartotekowych, historii audytu ani istniejących publikacji.</w:t>
      </w:r>
    </w:p>
    <w:p>
      <w:r>
        <w:t>Rejestr wymaga osobnej pustej bazy wybranej w SSMS oraz trybu SQLCMD, ponieważ korzysta z :ON ERROR EXIT i separatorów GO. Nie wolno uruchamiać go w wypełnionej bazie autoparts-db-v2. Sam DDL nie odtworzy zaakceptowanych wolumenów i sald; po utworzeniu struktury potrzebne są odrębne wsady kartotek, parametrów i forecastów.</w:t>
      </w:r>
    </w:p>
    <w:p>
      <w:pPr>
        <w:pStyle w:val="Heading1"/>
      </w:pPr>
      <w:r>
        <w:t>18 Identyfikowalność dokumentacji</w:t>
      </w:r>
    </w:p>
    <w:p>
      <w:r>
        <w:t>Stan opisano na podstawie skonsolidowanego rejestru końcowych definicji, wyników pełnego audytu z 11.09.2026, kontroli stocku oraz zaakceptowanych wyników zmian ról Tactical z 13.09.2026. Dokumentacja nie stanowi nowego odczytu metadanych bezpośrednio z serwera. Przy kolejnej zmianie schematu rejestr SQL, katalog SQL i oba warianty językowe dokumentacji powinny otrzymać tę samą wersję stanu.</w:t>
      </w:r>
    </w:p>
    <w:sectPr w:rsidR="00FC693F" w:rsidRPr="0006063C" w:rsidSect="00034616">
      <w:footerReference w:type="default" r:id="rId9"/>
      <w:pgSz w:w="12240" w:h="15840"/>
      <w:pgMar w:top="979" w:right="936" w:bottom="893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/>
        <w:color w:val="5F5F5F"/>
        <w:sz w:val="16"/>
      </w:rPr>
      <w:t xml:space="preserve">Autoparts DB V2   Dokumentacja bazy danych 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6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4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odeSmall">
    <w:name w:val="Code Small"/>
    <w:pPr>
      <w:spacing w:after="40"/>
    </w:pPr>
    <w:rPr>
      <w:rFonts w:ascii="Consolas" w:hAnsi="Consolas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bazy danych Autoparts DB V2</dc:title>
  <dc:subject>Architektura obiekty przepływy i kontrola jakości</dc:subject>
  <dc:creator>Kamil Soja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