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mallLabel"/>
      </w:pPr>
      <w:r>
        <w:t>DOKUMENTACJA TECHNICZNA I FUNKCJONALNA</w:t>
      </w:r>
    </w:p>
    <w:p>
      <w:pPr>
        <w:pStyle w:val="Title"/>
      </w:pPr>
      <w:r>
        <w:t>Dokumentacja raportu Power BI Autoparts Supply Chain Control Tower</w:t>
      </w:r>
    </w:p>
    <w:p>
      <w:pPr>
        <w:pStyle w:val="Subtitle"/>
      </w:pPr>
      <w:r>
        <w:t>Model semantyczny logika biznesowa strony raportu i zasady użytkowania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2376"/>
        <w:gridCol w:w="7344"/>
      </w:tblGrid>
      <w:tr>
        <w:tc>
          <w:tcPr>
            <w:tcW w:type="dxa" w:w="2376"/>
            <w:shd w:fill="EAF2F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Autor</w:t>
            </w:r>
          </w:p>
        </w:tc>
        <w:tc>
          <w:tcPr>
            <w:tcW w:type="dxa" w:w="7344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Kamil Soja</w:t>
            </w:r>
          </w:p>
        </w:tc>
      </w:tr>
      <w:tr>
        <w:tc>
          <w:tcPr>
            <w:tcW w:type="dxa" w:w="2376"/>
            <w:shd w:fill="EAF2F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Rodzaj projektu</w:t>
            </w:r>
          </w:p>
        </w:tc>
        <w:tc>
          <w:tcPr>
            <w:tcW w:type="dxa" w:w="7344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Prywatny projekt portfolio</w:t>
            </w:r>
          </w:p>
        </w:tc>
      </w:tr>
      <w:tr>
        <w:tc>
          <w:tcPr>
            <w:tcW w:type="dxa" w:w="2376"/>
            <w:shd w:fill="EAF2F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Wersja</w:t>
            </w:r>
          </w:p>
        </w:tc>
        <w:tc>
          <w:tcPr>
            <w:tcW w:type="dxa" w:w="7344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1.0</w:t>
            </w:r>
          </w:p>
        </w:tc>
      </w:tr>
      <w:tr>
        <w:tc>
          <w:tcPr>
            <w:tcW w:type="dxa" w:w="2376"/>
            <w:shd w:fill="EAF2F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Data</w:t>
            </w:r>
          </w:p>
        </w:tc>
        <w:tc>
          <w:tcPr>
            <w:tcW w:type="dxa" w:w="7344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24 września 2026</w:t>
            </w:r>
          </w:p>
        </w:tc>
      </w:tr>
      <w:tr>
        <w:tc>
          <w:tcPr>
            <w:tcW w:type="dxa" w:w="2376"/>
            <w:shd w:fill="EAF2F8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Technologie</w:t>
            </w:r>
          </w:p>
        </w:tc>
        <w:tc>
          <w:tcPr>
            <w:tcW w:type="dxa" w:w="7344"/>
            <w:vAlign w:val="center"/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Azure SQL Database i Power BI Desktop</w:t>
            </w:r>
          </w:p>
        </w:tc>
      </w:tr>
    </w:tbl>
    <w:p/>
    <w:p>
      <w:r>
        <w:br w:type="page"/>
      </w:r>
    </w:p>
    <w:p>
      <w:pPr>
        <w:pStyle w:val="Heading1"/>
      </w:pPr>
      <w:r>
        <w:t>1 Cel raportu</w:t>
      </w:r>
    </w:p>
    <w:p>
      <w:r>
        <w:rPr>
          <w:rFonts w:ascii="Arial" w:hAnsi="Arial"/>
        </w:rPr>
        <w:t>Raport przedstawia planowanie transportu i zapasu w fikcyjnej firmie produkującej części samochodowe. Azure SQL przekształca dane wejściowe klienta w plan przewozów dla przewoźników oraz projekcję zapasu fabryk, a Power BI udostępnia warstwę analityczną dla planisty transportu, supply chain analityka i osoby zarządzającej operacją.</w:t>
      </w:r>
    </w:p>
    <w:p>
      <w:r>
        <w:rPr>
          <w:rFonts w:ascii="Arial" w:hAnsi="Arial"/>
        </w:rPr>
        <w:t>Raport odpowiada na konkretne pytania operacyjne: jaki wolumen ma zostać odebrany lub dostarczony, na jakiej trasie i w którym okresie; gdzie przydzielony wolumen przekracza pojemność przewoźnika; jak zmienił się bieżący plan względem poprzedniej publikacji; ile kosztuje transport na trasie i u przewoźnika; oraz gdzie prognozowany zapas spada poniżej zera.</w:t>
      </w:r>
    </w:p>
    <w:p>
      <w:pPr>
        <w:pStyle w:val="Heading2"/>
      </w:pPr>
      <w:r>
        <w:t>1 1 Odbiorcy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2376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Rola</w:t>
            </w:r>
          </w:p>
        </w:tc>
        <w:tc>
          <w:tcPr>
            <w:tcW w:type="dxa" w:w="7344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Główne zastosowanie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Planista transportu</w:t>
            </w:r>
          </w:p>
        </w:tc>
        <w:tc>
          <w:tcPr>
            <w:tcW w:type="dxa" w:w="73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Kontrola wolumenu, pojemności, przeciążeń i liczby wymaganych pojazdów.</w:t>
            </w:r>
          </w:p>
        </w:tc>
      </w:tr>
      <w:tr>
        <w:trPr>
          <w:cantSplit/>
        </w:trPr>
        <w:tc>
          <w:tcPr>
            <w:tcW w:type="dxa" w:w="237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Supply chain analyst</w:t>
            </w:r>
          </w:p>
        </w:tc>
        <w:tc>
          <w:tcPr>
            <w:tcW w:type="dxa" w:w="73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Analiza zmian planu, kosztów transportu oraz ryzyka niedoboru zapasu.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Carrier manager</w:t>
            </w:r>
          </w:p>
        </w:tc>
        <w:tc>
          <w:tcPr>
            <w:tcW w:type="dxa" w:w="73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Porównanie wykorzystania pojemności i stawek przewoźników na trasach.</w:t>
            </w:r>
          </w:p>
        </w:tc>
      </w:tr>
      <w:tr>
        <w:trPr>
          <w:cantSplit/>
        </w:trPr>
        <w:tc>
          <w:tcPr>
            <w:tcW w:type="dxa" w:w="237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Kierownik operacji</w:t>
            </w:r>
          </w:p>
        </w:tc>
        <w:tc>
          <w:tcPr>
            <w:tcW w:type="dxa" w:w="73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Ocena skali wyjątków wymagających decyzji lub kontaktu z przewoźnikiem.</w:t>
            </w:r>
          </w:p>
        </w:tc>
      </w:tr>
    </w:tbl>
    <w:p>
      <w:pPr>
        <w:spacing w:after="20"/>
      </w:pPr>
    </w:p>
    <w:p>
      <w:pPr>
        <w:pStyle w:val="Heading1"/>
      </w:pPr>
      <w:r>
        <w:t>2 Zakres danych</w:t>
      </w:r>
    </w:p>
    <w:p>
      <w:r>
        <w:rPr>
          <w:rFonts w:ascii="Arial" w:hAnsi="Arial"/>
        </w:rPr>
        <w:t>Model raportowy wykorzystuje przygotowane w Azure SQL tabele faktów i wymiarów. Dane surowe nie są agregowane bezpośrednio w wizualizacjach. Logika oczyszczania, uzgadniania, rozwijania tras na fizyczne odcinki, alokacji przewoźników, obliczania pojemności, kosztów oraz projekcji zapasu znajduje się przed warstwą raportową.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2520"/>
        <w:gridCol w:w="2520"/>
        <w:gridCol w:w="2520"/>
        <w:gridCol w:w="2520"/>
      </w:tblGrid>
      <w:tr>
        <w:trPr>
          <w:tblHeader w:val="true"/>
        </w:trPr>
        <w:tc>
          <w:tcPr>
            <w:tcW w:type="dxa" w:w="1944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Plan</w:t>
            </w:r>
          </w:p>
        </w:tc>
        <w:tc>
          <w:tcPr>
            <w:tcW w:type="dxa" w:w="3096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Identyfikator snapshotu</w:t>
            </w:r>
          </w:p>
        </w:tc>
        <w:tc>
          <w:tcPr>
            <w:tcW w:type="dxa" w:w="2736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Zakres</w:t>
            </w:r>
          </w:p>
        </w:tc>
        <w:tc>
          <w:tcPr>
            <w:tcW w:type="dxa" w:w="1944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Ziarnistość</w:t>
            </w:r>
          </w:p>
        </w:tc>
      </w:tr>
      <w:tr>
        <w:trPr>
          <w:cantSplit/>
        </w:trPr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Current Tactical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TACTICAL_2026-08-28_V01</w:t>
            </w:r>
          </w:p>
        </w:tc>
        <w:tc>
          <w:tcPr>
            <w:tcW w:type="dxa" w:w="27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2026-08-24 do 2026-12-07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7"/>
              </w:rPr>
              <w:t>16 tygodni</w:t>
            </w:r>
          </w:p>
        </w:tc>
      </w:tr>
      <w:tr>
        <w:trPr>
          <w:cantSplit/>
        </w:trPr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Previous Tactical</w:t>
            </w:r>
          </w:p>
        </w:tc>
        <w:tc>
          <w:tcPr>
            <w:tcW w:type="dxa" w:w="309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TACTICAL_2026-07-31_V03</w:t>
            </w:r>
          </w:p>
        </w:tc>
        <w:tc>
          <w:tcPr>
            <w:tcW w:type="dxa" w:w="27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2026-07-27 do 2026-11-09</w:t>
            </w:r>
          </w:p>
        </w:tc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7"/>
              </w:rPr>
              <w:t>16 tygodni</w:t>
            </w:r>
          </w:p>
        </w:tc>
      </w:tr>
      <w:tr>
        <w:trPr>
          <w:cantSplit/>
        </w:trPr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Short Term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SHORT_TERM_2026-08-17_V03</w:t>
            </w:r>
          </w:p>
        </w:tc>
        <w:tc>
          <w:tcPr>
            <w:tcW w:type="dxa" w:w="27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2026-08-19 do 2026-09-01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7"/>
              </w:rPr>
              <w:t>14 dni</w:t>
            </w:r>
          </w:p>
        </w:tc>
      </w:tr>
      <w:tr>
        <w:trPr>
          <w:cantSplit/>
        </w:trPr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Stock Projection</w:t>
            </w:r>
          </w:p>
        </w:tc>
        <w:tc>
          <w:tcPr>
            <w:tcW w:type="dxa" w:w="309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7"/>
              </w:rPr>
              <w:t>Bieżąca projekcja SQL</w:t>
            </w:r>
          </w:p>
        </w:tc>
        <w:tc>
          <w:tcPr>
            <w:tcW w:type="dxa" w:w="27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Tygodnie dostępne w DimWeek</w:t>
            </w:r>
          </w:p>
        </w:tc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Fabryka produkt tydzień</w:t>
            </w:r>
          </w:p>
        </w:tc>
      </w:tr>
    </w:tbl>
    <w:p>
      <w:pPr>
        <w:spacing w:after="20"/>
      </w:pPr>
    </w:p>
    <w:p>
      <w:pPr>
        <w:pStyle w:val="Heading2"/>
      </w:pPr>
      <w:r>
        <w:t>2 1 Przepływ danych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360"/>
        <w:gridCol w:w="3360"/>
        <w:gridCol w:w="3360"/>
      </w:tblGrid>
      <w:tr>
        <w:trPr>
          <w:tblHeader w:val="true"/>
        </w:trPr>
        <w:tc>
          <w:tcPr>
            <w:tcW w:type="dxa" w:w="180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Warstwa</w:t>
            </w:r>
          </w:p>
        </w:tc>
        <w:tc>
          <w:tcPr>
            <w:tcW w:type="dxa" w:w="540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Główne zadanie</w:t>
            </w:r>
          </w:p>
        </w:tc>
        <w:tc>
          <w:tcPr>
            <w:tcW w:type="dxa" w:w="252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Wynik</w:t>
            </w:r>
          </w:p>
        </w:tc>
      </w:tr>
      <w:tr>
        <w:trPr>
          <w:cantSplit/>
        </w:trPr>
        <w:tc>
          <w:tcPr>
            <w:tcW w:type="dxa" w:w="180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Pliki wejściowe</w:t>
            </w:r>
          </w:p>
        </w:tc>
        <w:tc>
          <w:tcPr>
            <w:tcW w:type="dxa" w:w="540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Prognoza tactical i short term oraz dane referencyjne.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7"/>
              </w:rPr>
              <w:t>Rekordy źródłowe</w:t>
            </w:r>
          </w:p>
        </w:tc>
      </w:tr>
      <w:tr>
        <w:trPr>
          <w:cantSplit/>
        </w:trPr>
        <w:tc>
          <w:tcPr>
            <w:tcW w:type="dxa" w:w="180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Azure SQL</w:t>
            </w:r>
          </w:p>
        </w:tc>
        <w:tc>
          <w:tcPr>
            <w:tcW w:type="dxa" w:w="540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Walidacja, clean, reconciliation, budowa popytu komponentowego, tras, alokacji i stocku.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Kuratorowane widoki i tabele</w:t>
            </w:r>
          </w:p>
        </w:tc>
      </w:tr>
      <w:tr>
        <w:trPr>
          <w:cantSplit/>
        </w:trPr>
        <w:tc>
          <w:tcPr>
            <w:tcW w:type="dxa" w:w="180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Model Power BI</w:t>
            </w:r>
          </w:p>
        </w:tc>
        <w:tc>
          <w:tcPr>
            <w:tcW w:type="dxa" w:w="540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Relacje, miary, parametry pól i scenariusz What If.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Spójny kontekst analityczny</w:t>
            </w:r>
          </w:p>
        </w:tc>
      </w:tr>
      <w:tr>
        <w:trPr>
          <w:cantSplit/>
        </w:trPr>
        <w:tc>
          <w:tcPr>
            <w:tcW w:type="dxa" w:w="180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Warstwa raportowa</w:t>
            </w:r>
          </w:p>
        </w:tc>
        <w:tc>
          <w:tcPr>
            <w:tcW w:type="dxa" w:w="540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Slicery, macierze, wykresy ryzyka, kosztów i zapasu.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7"/>
              </w:rPr>
              <w:t>Decyzje operacyjne</w:t>
            </w:r>
          </w:p>
        </w:tc>
      </w:tr>
    </w:tbl>
    <w:p>
      <w:pPr>
        <w:spacing w:after="20"/>
      </w:pPr>
    </w:p>
    <w:p>
      <w:pPr>
        <w:pStyle w:val="Heading1"/>
      </w:pPr>
      <w:r>
        <w:t>3 Model semantyczny</w:t>
      </w:r>
    </w:p>
    <w:p>
      <w:r>
        <w:rPr>
          <w:rFonts w:ascii="Arial" w:hAnsi="Arial"/>
        </w:rPr>
        <w:t>Model ma strukturę gwiazdy. Wymiary filtrują tabele faktów relacjami jeden do wielu i jednokierunkowym filtrowaniem. Oddzielne wymiary punktu odbioru i punktu dostawy pełnią role dimensions, dzięki czemu ten sam węzeł sieci może występować w różnych rolach bez niejednoznacznych ścieżek filtrowania.</w:t>
      </w:r>
    </w:p>
    <w:p>
      <w:pPr>
        <w:pStyle w:val="Heading2"/>
      </w:pPr>
      <w:r>
        <w:t>3 1 Tabele faktów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324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Tabela</w:t>
            </w:r>
          </w:p>
        </w:tc>
        <w:tc>
          <w:tcPr>
            <w:tcW w:type="dxa" w:w="648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Ziarnistość i przeznaczenie</w:t>
            </w:r>
          </w:p>
        </w:tc>
      </w:tr>
      <w:tr>
        <w:trPr>
          <w:cantSplit/>
        </w:trPr>
        <w:tc>
          <w:tcPr>
            <w:tcW w:type="dxa" w:w="32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FactTacticalCurrentPrevious</w:t>
            </w:r>
          </w:p>
        </w:tc>
        <w:tc>
          <w:tcPr>
            <w:tcW w:type="dxa" w:w="64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Plan przewoźników według snapshotu, tygodnia odbioru, fizycznego lega i przewoźnika. Obsługuje bieżący plan oraz porównanie current versus previous.</w:t>
            </w:r>
          </w:p>
        </w:tc>
      </w:tr>
      <w:tr>
        <w:trPr>
          <w:cantSplit/>
        </w:trPr>
        <w:tc>
          <w:tcPr>
            <w:tcW w:type="dxa" w:w="32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FactTacticalArrivals</w:t>
            </w:r>
          </w:p>
        </w:tc>
        <w:tc>
          <w:tcPr>
            <w:tcW w:type="dxa" w:w="64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Wolumen tactical przesunięty na tydzień przyjazdu. Obsługuje widok dostaw do punktów docelowych.</w:t>
            </w:r>
          </w:p>
        </w:tc>
      </w:tr>
      <w:tr>
        <w:trPr>
          <w:cantSplit/>
        </w:trPr>
        <w:tc>
          <w:tcPr>
            <w:tcW w:type="dxa" w:w="32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FactShortTerm</w:t>
            </w:r>
          </w:p>
        </w:tc>
        <w:tc>
          <w:tcPr>
            <w:tcW w:type="dxa" w:w="64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Dzienny plan odbiorów na 14 dni według lega, przewoźnika i daty odbioru.</w:t>
            </w:r>
          </w:p>
        </w:tc>
      </w:tr>
      <w:tr>
        <w:trPr>
          <w:cantSplit/>
        </w:trPr>
        <w:tc>
          <w:tcPr>
            <w:tcW w:type="dxa" w:w="32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FactStockProjection</w:t>
            </w:r>
          </w:p>
        </w:tc>
        <w:tc>
          <w:tcPr>
            <w:tcW w:type="dxa" w:w="64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Tygodniowa projekcja stocku według fabryki i produktu.</w:t>
            </w:r>
          </w:p>
        </w:tc>
      </w:tr>
      <w:tr>
        <w:trPr>
          <w:cantSplit/>
        </w:trPr>
        <w:tc>
          <w:tcPr>
            <w:tcW w:type="dxa" w:w="32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FactWeeklyProduction</w:t>
            </w:r>
          </w:p>
        </w:tc>
        <w:tc>
          <w:tcPr>
            <w:tcW w:type="dxa" w:w="64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Tygodniowy plan produkcji wykorzystywany przez część stockową modelu i kontrolę danych.</w:t>
            </w:r>
          </w:p>
        </w:tc>
      </w:tr>
    </w:tbl>
    <w:p>
      <w:pPr>
        <w:spacing w:after="20"/>
      </w:pPr>
    </w:p>
    <w:p>
      <w:pPr>
        <w:pStyle w:val="Heading2"/>
      </w:pPr>
      <w:r>
        <w:t>3 2 Najważniejsze wymiary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288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Wymiar</w:t>
            </w:r>
          </w:p>
        </w:tc>
        <w:tc>
          <w:tcPr>
            <w:tcW w:type="dxa" w:w="684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Funkcja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DimWeek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Wspólna oś tygodniowa dla tactical, arrivals i stock projection.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DimDate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Dzienna oś czasu dla short term.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DimPhysicalLeg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Fizyczny odcinek trasy, punkt początkowy, punkt docelowy, dystans, czas tranzytu i tryb transportu.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DimPickupNode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Punkt odbioru filtrowany przez pickup node id.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DimDeliveryNode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Punkt dostawy filtrowany przez delivery node id.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DimCarrier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Przewoźnik i kod przewoźnika.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DimTacticalSnapshot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Rola snapshotu CURRENT lub PREVIOUS oraz kod publikacji.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DimFactories i DimProduct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Fabryka i produkt używane w analizie stocku oraz scenariuszu demandu.</w:t>
            </w:r>
          </w:p>
        </w:tc>
      </w:tr>
    </w:tbl>
    <w:p>
      <w:pPr>
        <w:spacing w:after="20"/>
      </w:pPr>
    </w:p>
    <w:p>
      <w:pPr>
        <w:pStyle w:val="Heading2"/>
      </w:pPr>
      <w:r>
        <w:t>3 3 Kluczowe relacje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2520"/>
        <w:gridCol w:w="2520"/>
        <w:gridCol w:w="2520"/>
        <w:gridCol w:w="2520"/>
      </w:tblGrid>
      <w:tr>
        <w:trPr>
          <w:tblHeader w:val="true"/>
        </w:trPr>
        <w:tc>
          <w:tcPr>
            <w:tcW w:type="dxa" w:w="216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5"/>
              </w:rPr>
              <w:t>Wymiar</w:t>
            </w:r>
          </w:p>
        </w:tc>
        <w:tc>
          <w:tcPr>
            <w:tcW w:type="dxa" w:w="3096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5"/>
              </w:rPr>
              <w:t>Tabela faktów</w:t>
            </w:r>
          </w:p>
        </w:tc>
        <w:tc>
          <w:tcPr>
            <w:tcW w:type="dxa" w:w="252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5"/>
              </w:rPr>
              <w:t>Klucz faktu</w:t>
            </w:r>
          </w:p>
        </w:tc>
        <w:tc>
          <w:tcPr>
            <w:tcW w:type="dxa" w:w="1944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5"/>
              </w:rPr>
              <w:t>Status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DimPhysicalLeg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FactTacticalCurrentPrevious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physical_leg_id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DimPickupNode</w:t>
            </w:r>
          </w:p>
        </w:tc>
        <w:tc>
          <w:tcPr>
            <w:tcW w:type="dxa" w:w="309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FactTacticalCurrentPrevious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pickup_node_id</w:t>
            </w:r>
          </w:p>
        </w:tc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DimDeliveryNode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FactTacticalCurrentPrevious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delivery_node_id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DimWeek</w:t>
            </w:r>
          </w:p>
        </w:tc>
        <w:tc>
          <w:tcPr>
            <w:tcW w:type="dxa" w:w="309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FactTacticalCurrentPrevious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pickup_week_start</w:t>
            </w:r>
          </w:p>
        </w:tc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DimPhysicalLeg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FactTacticalArrivals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physical_leg_id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DimPickupNode</w:t>
            </w:r>
          </w:p>
        </w:tc>
        <w:tc>
          <w:tcPr>
            <w:tcW w:type="dxa" w:w="309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FactTacticalArrivals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pickup_node_id</w:t>
            </w:r>
          </w:p>
        </w:tc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DimDeliveryNode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FactTacticalArrivals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delivery_node_id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DimWeek</w:t>
            </w:r>
          </w:p>
        </w:tc>
        <w:tc>
          <w:tcPr>
            <w:tcW w:type="dxa" w:w="309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FactTacticalArrivals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arrival_week_start</w:t>
            </w:r>
          </w:p>
        </w:tc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DimPhysicalLeg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FactShortTerm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physical_leg_id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DimPickupNode</w:t>
            </w:r>
          </w:p>
        </w:tc>
        <w:tc>
          <w:tcPr>
            <w:tcW w:type="dxa" w:w="309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FactShortTerm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pickup_node_id</w:t>
            </w:r>
          </w:p>
        </w:tc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DimDeliveryNode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FactShortTerm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delivery_node_id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DimDate</w:t>
            </w:r>
          </w:p>
        </w:tc>
        <w:tc>
          <w:tcPr>
            <w:tcW w:type="dxa" w:w="309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FactShortTerm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pickup_date</w:t>
            </w:r>
          </w:p>
        </w:tc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DimFactories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FactStockProjection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factory_id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DimProduct</w:t>
            </w:r>
          </w:p>
        </w:tc>
        <w:tc>
          <w:tcPr>
            <w:tcW w:type="dxa" w:w="309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FactStockProjection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product_id</w:t>
            </w:r>
          </w:p>
        </w:tc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5"/>
              </w:rPr>
              <w:t>DimWeek</w:t>
            </w:r>
          </w:p>
        </w:tc>
        <w:tc>
          <w:tcPr>
            <w:tcW w:type="dxa" w:w="309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FactStockProjection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week_start</w:t>
            </w:r>
          </w:p>
        </w:tc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5"/>
              </w:rPr>
              <w:t>Aktywna 1 do wielu</w:t>
            </w:r>
          </w:p>
        </w:tc>
      </w:tr>
    </w:tbl>
    <w:p>
      <w:pPr>
        <w:spacing w:after="20"/>
      </w:pPr>
    </w:p>
    <w:p>
      <w:pPr>
        <w:pStyle w:val="Heading1"/>
      </w:pPr>
      <w:r>
        <w:t>4 Strony raportu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360"/>
        <w:gridCol w:w="3360"/>
        <w:gridCol w:w="3360"/>
      </w:tblGrid>
      <w:tr>
        <w:trPr>
          <w:tblHeader w:val="true"/>
        </w:trPr>
        <w:tc>
          <w:tcPr>
            <w:tcW w:type="dxa" w:w="1944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Strona</w:t>
            </w:r>
          </w:p>
        </w:tc>
        <w:tc>
          <w:tcPr>
            <w:tcW w:type="dxa" w:w="5256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Pytanie biznesowe</w:t>
            </w:r>
          </w:p>
        </w:tc>
        <w:tc>
          <w:tcPr>
            <w:tcW w:type="dxa" w:w="252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Główna perspektywa</w:t>
            </w:r>
          </w:p>
        </w:tc>
      </w:tr>
      <w:tr>
        <w:trPr>
          <w:cantSplit/>
        </w:trPr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Tactical</w:t>
            </w:r>
          </w:p>
        </w:tc>
        <w:tc>
          <w:tcPr>
            <w:tcW w:type="dxa" w:w="525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Gdzie bieżący plan przekracza pojemność i jaki wolumen jest odbierany lub dostarczany?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7"/>
              </w:rPr>
              <w:t>16 tygodni current</w:t>
            </w:r>
          </w:p>
        </w:tc>
      </w:tr>
      <w:tr>
        <w:trPr>
          <w:cantSplit/>
        </w:trPr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Tactical Revision</w:t>
            </w:r>
          </w:p>
        </w:tc>
        <w:tc>
          <w:tcPr>
            <w:tcW w:type="dxa" w:w="525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Co zmieniło się względem poprzedniej publikacji tactical?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Current versus previous</w:t>
            </w:r>
          </w:p>
        </w:tc>
      </w:tr>
      <w:tr>
        <w:trPr>
          <w:cantSplit/>
        </w:trPr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Short Term</w:t>
            </w:r>
          </w:p>
        </w:tc>
        <w:tc>
          <w:tcPr>
            <w:tcW w:type="dxa" w:w="525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Jak wygląda dzienny plan odbiorów i gdzie brakuje pojemności w najbliższych 14 dniach?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7"/>
              </w:rPr>
              <w:t>Dzień operacyjny</w:t>
            </w:r>
          </w:p>
        </w:tc>
      </w:tr>
      <w:tr>
        <w:trPr>
          <w:cantSplit/>
        </w:trPr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Transport Costs</w:t>
            </w:r>
          </w:p>
        </w:tc>
        <w:tc>
          <w:tcPr>
            <w:tcW w:type="dxa" w:w="525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Które legi i przewoźnicy generują najwyższy koszt oraz stawkę jednostkową?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Tactical lub short term</w:t>
            </w:r>
          </w:p>
        </w:tc>
      </w:tr>
      <w:tr>
        <w:trPr>
          <w:cantSplit/>
        </w:trPr>
        <w:tc>
          <w:tcPr>
            <w:tcW w:type="dxa" w:w="194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Stock Scenario</w:t>
            </w:r>
          </w:p>
        </w:tc>
        <w:tc>
          <w:tcPr>
            <w:tcW w:type="dxa" w:w="525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Jak wskazany wzrost popytu zmieni stock wybranego produktu w fabryce?</w:t>
            </w:r>
          </w:p>
        </w:tc>
        <w:tc>
          <w:tcPr>
            <w:tcW w:type="dxa" w:w="252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7"/>
              </w:rPr>
              <w:t>Scenariusz What If</w:t>
            </w:r>
          </w:p>
        </w:tc>
      </w:tr>
      <w:tr>
        <w:trPr>
          <w:cantSplit/>
        </w:trPr>
        <w:tc>
          <w:tcPr>
            <w:tcW w:type="dxa" w:w="194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Stock Overview</w:t>
            </w:r>
          </w:p>
        </w:tc>
        <w:tc>
          <w:tcPr>
            <w:tcW w:type="dxa" w:w="525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W których fabrykach, produktach i tygodniach powstaje niedobór?</w:t>
            </w:r>
          </w:p>
        </w:tc>
        <w:tc>
          <w:tcPr>
            <w:tcW w:type="dxa" w:w="252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Bazowa projekcja stocku</w:t>
            </w:r>
          </w:p>
        </w:tc>
      </w:tr>
    </w:tbl>
    <w:p>
      <w:pPr>
        <w:spacing w:after="20"/>
      </w:pPr>
    </w:p>
    <w:p>
      <w:pPr>
        <w:pStyle w:val="Heading2"/>
      </w:pPr>
      <w:r>
        <w:t>4 1 Tactical</w:t>
      </w:r>
    </w:p>
    <w:p>
      <w:r>
        <w:rPr>
          <w:rFonts w:ascii="Arial" w:hAnsi="Arial"/>
        </w:rPr>
        <w:t>Strona służy do analizy bieżącego 16 tygodniowego planu przewozowego. Widok Pickup pokazuje wolumen według tygodnia odbioru. Widok Arrival przesuwa ten sam przepływ na tydzień przyjazdu i pozwala ocenić, jaki wolumen dotrze do punktu docelowego.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Slicery obejmują tydzień, leg, przewoźnika, start node, delivery node oraz tryb transportu, jeśli jest używany w danym widoku.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Macierz pokazuje leg i przewoźnika w wierszach oraz tygodnie w kolumnach.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Parametr Tactical Metric przełącza macierz między paletami, pojemnością, wykorzystaniem, overloadem i dodatkowymi pojazdami.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Wykres Used versus Available zestawia przydzielone palety z dostępną pojemnością i linią wykorzystania procentowego.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Wykres Capacity Risks wskazuje legi lub przewoźników wymagających dodatkowych pojazdów.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Przełącznik Pickup Arrival wykorzystuje bookmarki i grupy elementów w panelu Selection.</w:t>
      </w:r>
    </w:p>
    <w:p>
      <w:pPr>
        <w:pStyle w:val="Heading2"/>
      </w:pPr>
      <w:r>
        <w:t>4 2 Tactical Revision</w:t>
      </w:r>
    </w:p>
    <w:p>
      <w:r>
        <w:rPr>
          <w:rFonts w:ascii="Arial" w:hAnsi="Arial"/>
        </w:rPr>
        <w:t>Strona porównuje snapshot CURRENT z PREVIOUS w kontekście wspólnych wymiarów. Jej celem jest szybkie wskazanie, gdzie plan wzrósł, spadł lub pozostał stabilny, bez mieszania różnicy absolutnej z procentową.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Wykres trendu pokazuje bieżące i poprzednie przydzielone palety według tygodnia.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Wykres największych zmian porządkuje legi lub przewoźników według bezwzględnej wartości rewizji.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Macierz prezentuje current, previous, różnicę absolutną oraz revision percent.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Przełącznik Risk Dimension zmienia analizowaną jednostkę między legiem i przewoźnikiem.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Kolory rewizji rozróżniają wzrost i spadek planu, ale nie klasyfikują automatycznie każdej zmiany jako pozytywnej lub negatywnej biznesowo.</w:t>
      </w:r>
    </w:p>
    <w:p>
      <w:pPr>
        <w:pStyle w:val="Heading2"/>
      </w:pPr>
      <w:r>
        <w:t>4 3 Short Term</w:t>
      </w:r>
    </w:p>
    <w:p>
      <w:r>
        <w:rPr>
          <w:rFonts w:ascii="Arial" w:hAnsi="Arial"/>
        </w:rPr>
        <w:t>Strona pokazuje 14 dni operacyjnego planu odbiorów. Ziarnistość dzienna pozwala odróżnić pojedynczy trudny dzień od problemu rozłożonego równomiernie w tygodniu.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Macierz prezentuje leg i przewoźnika w wierszach oraz daty odbioru w kolumnach.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Parametr Short Term Daily Metric przełącza wartości między paletami dziennymi i wymaganą liczbą pojazdów.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Wykres Daily Pickup Workload pokazuje dzienne palety oraz liczbę wymaganych pojazdów.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Wykres Additional Trucks Required porządkuje legi lub przewoźników według brakującej pojemności.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Formatowanie warunkowe macierzy kieruje uwagę na dni przeciążone bez konieczności przeglądania każdego rekordu.</w:t>
      </w:r>
    </w:p>
    <w:p>
      <w:pPr>
        <w:pStyle w:val="Heading2"/>
      </w:pPr>
      <w:r>
        <w:t>4 4 Transport Costs</w:t>
      </w:r>
    </w:p>
    <w:p>
      <w:r>
        <w:rPr>
          <w:rFonts w:ascii="Arial" w:hAnsi="Arial"/>
        </w:rPr>
        <w:t>Strona analizuje koszty bieżącego tacticala i short term. Użytkownik może przełączyć źródło planu i porównywać przewoźników lub legi przy zbliżonym dystansie, wolumenie i liczbie pojazdów.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Karty pokazują całkowity koszt transportu, koszt na paletę oraz wolumen w aktualnym kontekście filtrów.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Tabela kosztowa zawiera dystans, palety, pojazdy, koszt całkowity, koszt na pojazd, koszt na pojazdokilometr i koszt na paletokilometr.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Scatter plot Distance versus Rate umożliwia wykrywanie przewoźników droższych od innych przy podobnym dystansie.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Trend tygodniowy lub dzienny pokazuje rozkład kosztu w czasie.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Ranking kosztu według wybranego wymiaru wskazuje legi lub przewoźników o największym wpływie na budżet.</w:t>
      </w:r>
    </w:p>
    <w:p>
      <w:pPr>
        <w:pStyle w:val="Heading2"/>
      </w:pPr>
      <w:r>
        <w:t>4 5 Stock Scenario</w:t>
      </w:r>
    </w:p>
    <w:p>
      <w:r>
        <w:rPr>
          <w:rFonts w:ascii="Arial" w:hAnsi="Arial"/>
        </w:rPr>
        <w:t>Strona wykorzystuje liczbowy parametr What If Demand Change Units. Użytkownik wybiera jedną fabrykę, jeden produkt i jeden tydzień scenariusza, a następnie wpisuje dodatkowy popyt w sztukach. Wykres porównuje bazowy closing stock z wynikiem scenariusza.</w:t>
      </w:r>
    </w:p>
    <w:p>
      <w:r>
        <w:rPr>
          <w:rFonts w:ascii="Arial" w:hAnsi="Arial"/>
        </w:rPr>
        <w:t>Dodatkowy popyt zwiększa requirement w wybranym tygodniu. Wpływ na closing stock utrzymuje się od tygodnia scenariusza do końca horyzontu, ponieważ niezrealizowany zapas nie odbudowuje się automatycznie bez dodatkowej produkcji.</w:t>
      </w:r>
    </w:p>
    <w:p>
      <w:pPr>
        <w:pStyle w:val="Heading2"/>
      </w:pPr>
      <w:r>
        <w:t>4 6 Stock Overview</w:t>
      </w:r>
    </w:p>
    <w:p>
      <w:r>
        <w:rPr>
          <w:rFonts w:ascii="Arial" w:hAnsi="Arial"/>
        </w:rPr>
        <w:t>Strona daje przekrojowy widok bazowej projekcji stocku bez scenariusza. Macierz factory product versus week umożliwia znalezienie konkretnego produktu i tygodnia, a wykresy agregują liczbę produktów zagrożonych oraz wielkość niedoboru.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Wartości closing stock poniżej zera są oznaczone czerwonym tłem, a zero kolorem ostrzegawczym.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Products in Shortage zlicza produkty z dodatnią miarą shortage w bieżącym kontekście.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Weekly Stock Shortage Units pokazuje, kiedy ryzyko niedoboru rośnie i kiedy znika.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Slicery umożliwiają analizę tygodnia, fabryki i produktu bez wymuszania pojedynczego wyboru.</w:t>
      </w:r>
    </w:p>
    <w:p>
      <w:pPr>
        <w:pStyle w:val="Heading1"/>
      </w:pPr>
      <w:r>
        <w:t>5 Logika najważniejszych miar</w:t>
      </w:r>
    </w:p>
    <w:p>
      <w:pPr>
        <w:pStyle w:val="Heading2"/>
      </w:pPr>
      <w:r>
        <w:t>5 1 Transport i pojemność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324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Miara</w:t>
            </w:r>
          </w:p>
        </w:tc>
        <w:tc>
          <w:tcPr>
            <w:tcW w:type="dxa" w:w="648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Definicja biznesowa</w:t>
            </w:r>
          </w:p>
        </w:tc>
      </w:tr>
      <w:tr>
        <w:trPr>
          <w:cantSplit/>
        </w:trPr>
        <w:tc>
          <w:tcPr>
            <w:tcW w:type="dxa" w:w="32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Allocated Pallets</w:t>
            </w:r>
          </w:p>
        </w:tc>
        <w:tc>
          <w:tcPr>
            <w:tcW w:type="dxa" w:w="64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Suma palet przydzielonych przewoźnikowi w aktualnym kontekście lega i czasu.</w:t>
            </w:r>
          </w:p>
        </w:tc>
      </w:tr>
      <w:tr>
        <w:trPr>
          <w:cantSplit/>
        </w:trPr>
        <w:tc>
          <w:tcPr>
            <w:tcW w:type="dxa" w:w="32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Carrier Capacity Pallets</w:t>
            </w:r>
          </w:p>
        </w:tc>
        <w:tc>
          <w:tcPr>
            <w:tcW w:type="dxa" w:w="64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Dostępna pojemność wynikająca z liczby zakontraktowanych pojazdów i pojemności pojazdu.</w:t>
            </w:r>
          </w:p>
        </w:tc>
      </w:tr>
      <w:tr>
        <w:trPr>
          <w:cantSplit/>
        </w:trPr>
        <w:tc>
          <w:tcPr>
            <w:tcW w:type="dxa" w:w="32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Capacity Utilization Percent</w:t>
            </w:r>
          </w:p>
        </w:tc>
        <w:tc>
          <w:tcPr>
            <w:tcW w:type="dxa" w:w="64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Allocated Pallets podzielone przez Carrier Capacity Pallets.</w:t>
            </w:r>
          </w:p>
        </w:tc>
      </w:tr>
      <w:tr>
        <w:trPr>
          <w:cantSplit/>
        </w:trPr>
        <w:tc>
          <w:tcPr>
            <w:tcW w:type="dxa" w:w="32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Overload Pallets</w:t>
            </w:r>
          </w:p>
        </w:tc>
        <w:tc>
          <w:tcPr>
            <w:tcW w:type="dxa" w:w="64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Dodatnia część różnicy Allocated Pallets minus Capacity Pallets.</w:t>
            </w:r>
          </w:p>
        </w:tc>
      </w:tr>
      <w:tr>
        <w:trPr>
          <w:cantSplit/>
        </w:trPr>
        <w:tc>
          <w:tcPr>
            <w:tcW w:type="dxa" w:w="32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Additional Trucks Required</w:t>
            </w:r>
          </w:p>
        </w:tc>
        <w:tc>
          <w:tcPr>
            <w:tcW w:type="dxa" w:w="64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Overload przeliczony na pełne pojazdy i zaokrąglony w górę.</w:t>
            </w:r>
          </w:p>
        </w:tc>
      </w:tr>
      <w:tr>
        <w:trPr>
          <w:cantSplit/>
        </w:trPr>
        <w:tc>
          <w:tcPr>
            <w:tcW w:type="dxa" w:w="32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Arrival Pallets</w:t>
            </w:r>
          </w:p>
        </w:tc>
        <w:tc>
          <w:tcPr>
            <w:tcW w:type="dxa" w:w="64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Palety przypisane do tygodnia przyjazdu po uwzględnieniu czasu tranzytu i obsługi.</w:t>
            </w:r>
          </w:p>
        </w:tc>
      </w:tr>
    </w:tbl>
    <w:p>
      <w:pPr>
        <w:spacing w:after="20"/>
      </w:pPr>
    </w:p>
    <w:p>
      <w:pPr>
        <w:pStyle w:val="Heading2"/>
      </w:pPr>
      <w:r>
        <w:t>5 2 Rewizja planu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3384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Miara</w:t>
            </w:r>
          </w:p>
        </w:tc>
        <w:tc>
          <w:tcPr>
            <w:tcW w:type="dxa" w:w="6336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Logika</w:t>
            </w:r>
          </w:p>
        </w:tc>
      </w:tr>
      <w:tr>
        <w:trPr>
          <w:cantSplit/>
        </w:trPr>
        <w:tc>
          <w:tcPr>
            <w:tcW w:type="dxa" w:w="338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Carrier Pallets Revision</w:t>
            </w:r>
          </w:p>
        </w:tc>
        <w:tc>
          <w:tcPr>
            <w:tcW w:type="dxa" w:w="63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Current Allocated Pallets minus Previous Allocated Pallets.</w:t>
            </w:r>
          </w:p>
        </w:tc>
      </w:tr>
      <w:tr>
        <w:trPr>
          <w:cantSplit/>
        </w:trPr>
        <w:tc>
          <w:tcPr>
            <w:tcW w:type="dxa" w:w="338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Carrier Pallets Revision Percent</w:t>
            </w:r>
          </w:p>
        </w:tc>
        <w:tc>
          <w:tcPr>
            <w:tcW w:type="dxa" w:w="63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Revision podzielona przez Previous Allocated Pallets. Brak poprzedniej wartości wymaga bezpiecznej obsługi dzielenia przez zero.</w:t>
            </w:r>
          </w:p>
        </w:tc>
      </w:tr>
      <w:tr>
        <w:trPr>
          <w:cantSplit/>
        </w:trPr>
        <w:tc>
          <w:tcPr>
            <w:tcW w:type="dxa" w:w="338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Revision Absolute</w:t>
            </w:r>
          </w:p>
        </w:tc>
        <w:tc>
          <w:tcPr>
            <w:tcW w:type="dxa" w:w="63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Wartość bezwzględna rewizji używana do rankingu największych zmian.</w:t>
            </w:r>
          </w:p>
        </w:tc>
      </w:tr>
      <w:tr>
        <w:trPr>
          <w:cantSplit/>
        </w:trPr>
        <w:tc>
          <w:tcPr>
            <w:tcW w:type="dxa" w:w="338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Component Units Revision</w:t>
            </w:r>
          </w:p>
        </w:tc>
        <w:tc>
          <w:tcPr>
            <w:tcW w:type="dxa" w:w="63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Różnica bieżącego i poprzedniego zapotrzebowania komponentowego, jeżeli miara jest używana w danym widoku.</w:t>
            </w:r>
          </w:p>
        </w:tc>
      </w:tr>
    </w:tbl>
    <w:p>
      <w:pPr>
        <w:spacing w:after="20"/>
      </w:pPr>
    </w:p>
    <w:p>
      <w:pPr>
        <w:pStyle w:val="Heading2"/>
      </w:pPr>
      <w:r>
        <w:t>5 3 Koszty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3384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Miara</w:t>
            </w:r>
          </w:p>
        </w:tc>
        <w:tc>
          <w:tcPr>
            <w:tcW w:type="dxa" w:w="6336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Definicja</w:t>
            </w:r>
          </w:p>
        </w:tc>
      </w:tr>
      <w:tr>
        <w:trPr>
          <w:cantSplit/>
        </w:trPr>
        <w:tc>
          <w:tcPr>
            <w:tcW w:type="dxa" w:w="338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Total Transport Cost EUR</w:t>
            </w:r>
          </w:p>
        </w:tc>
        <w:tc>
          <w:tcPr>
            <w:tcW w:type="dxa" w:w="63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Liczba wymaganych lub zaplanowanych pojazdów pomnożona przez kontraktowy koszt pojazdu na legu.</w:t>
            </w:r>
          </w:p>
        </w:tc>
      </w:tr>
      <w:tr>
        <w:trPr>
          <w:cantSplit/>
        </w:trPr>
        <w:tc>
          <w:tcPr>
            <w:tcW w:type="dxa" w:w="338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Cost per Pallet EUR</w:t>
            </w:r>
          </w:p>
        </w:tc>
        <w:tc>
          <w:tcPr>
            <w:tcW w:type="dxa" w:w="63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Koszt całkowity podzielony przez liczbę palet.</w:t>
            </w:r>
          </w:p>
        </w:tc>
      </w:tr>
      <w:tr>
        <w:trPr>
          <w:cantSplit/>
        </w:trPr>
        <w:tc>
          <w:tcPr>
            <w:tcW w:type="dxa" w:w="338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Cost per Truck EUR</w:t>
            </w:r>
          </w:p>
        </w:tc>
        <w:tc>
          <w:tcPr>
            <w:tcW w:type="dxa" w:w="63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Koszt całkowity podzielony przez liczbę pojazdów.</w:t>
            </w:r>
          </w:p>
        </w:tc>
      </w:tr>
      <w:tr>
        <w:trPr>
          <w:cantSplit/>
        </w:trPr>
        <w:tc>
          <w:tcPr>
            <w:tcW w:type="dxa" w:w="338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Cost per Truck Km EUR</w:t>
            </w:r>
          </w:p>
        </w:tc>
        <w:tc>
          <w:tcPr>
            <w:tcW w:type="dxa" w:w="63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Koszt całkowity podzielony przez pojazdokilometry.</w:t>
            </w:r>
          </w:p>
        </w:tc>
      </w:tr>
      <w:tr>
        <w:trPr>
          <w:cantSplit/>
        </w:trPr>
        <w:tc>
          <w:tcPr>
            <w:tcW w:type="dxa" w:w="338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Cost per Pallet Km EUR</w:t>
            </w:r>
          </w:p>
        </w:tc>
        <w:tc>
          <w:tcPr>
            <w:tcW w:type="dxa" w:w="63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Koszt całkowity podzielony przez paletokilometry.</w:t>
            </w:r>
          </w:p>
        </w:tc>
      </w:tr>
      <w:tr>
        <w:trPr>
          <w:cantSplit/>
        </w:trPr>
        <w:tc>
          <w:tcPr>
            <w:tcW w:type="dxa" w:w="338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Average Distance Km</w:t>
            </w:r>
          </w:p>
        </w:tc>
        <w:tc>
          <w:tcPr>
            <w:tcW w:type="dxa" w:w="63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Średni dystans ważony lub filtrowany zgodnie z kontekstem wybranego lega i przewoźnika.</w:t>
            </w:r>
          </w:p>
        </w:tc>
      </w:tr>
    </w:tbl>
    <w:p>
      <w:pPr>
        <w:spacing w:after="20"/>
      </w:pPr>
    </w:p>
    <w:p>
      <w:pPr>
        <w:pStyle w:val="Heading2"/>
      </w:pPr>
      <w:r>
        <w:t>5 4 Stock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3384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Miara</w:t>
            </w:r>
          </w:p>
        </w:tc>
        <w:tc>
          <w:tcPr>
            <w:tcW w:type="dxa" w:w="6336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Definicja</w:t>
            </w:r>
          </w:p>
        </w:tc>
      </w:tr>
      <w:tr>
        <w:trPr>
          <w:cantSplit/>
        </w:trPr>
        <w:tc>
          <w:tcPr>
            <w:tcW w:type="dxa" w:w="338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Current Closing Stock Units</w:t>
            </w:r>
          </w:p>
        </w:tc>
        <w:tc>
          <w:tcPr>
            <w:tcW w:type="dxa" w:w="63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Suma closing stock units obliczonego w projekcji SQL.</w:t>
            </w:r>
          </w:p>
        </w:tc>
      </w:tr>
      <w:tr>
        <w:trPr>
          <w:cantSplit/>
        </w:trPr>
        <w:tc>
          <w:tcPr>
            <w:tcW w:type="dxa" w:w="338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Current Requirement Units</w:t>
            </w:r>
          </w:p>
        </w:tc>
        <w:tc>
          <w:tcPr>
            <w:tcW w:type="dxa" w:w="63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Suma requirement units dla wybranego produktu, fabryki i tygodnia.</w:t>
            </w:r>
          </w:p>
        </w:tc>
      </w:tr>
      <w:tr>
        <w:trPr>
          <w:cantSplit/>
        </w:trPr>
        <w:tc>
          <w:tcPr>
            <w:tcW w:type="dxa" w:w="338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Scenario Requirement Units</w:t>
            </w:r>
          </w:p>
        </w:tc>
        <w:tc>
          <w:tcPr>
            <w:tcW w:type="dxa" w:w="63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Bazowy requirement zwiększony o Demand Change Units w wybranym tygodniu.</w:t>
            </w:r>
          </w:p>
        </w:tc>
      </w:tr>
      <w:tr>
        <w:trPr>
          <w:cantSplit/>
        </w:trPr>
        <w:tc>
          <w:tcPr>
            <w:tcW w:type="dxa" w:w="338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Scenario Closing Stock Units</w:t>
            </w:r>
          </w:p>
        </w:tc>
        <w:tc>
          <w:tcPr>
            <w:tcW w:type="dxa" w:w="63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Bazowy closing stock pomniejszony o Demand Change Units od tygodnia scenariusza.</w:t>
            </w:r>
          </w:p>
        </w:tc>
      </w:tr>
      <w:tr>
        <w:trPr>
          <w:cantSplit/>
        </w:trPr>
        <w:tc>
          <w:tcPr>
            <w:tcW w:type="dxa" w:w="338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Scenario Shortage Units</w:t>
            </w:r>
          </w:p>
        </w:tc>
        <w:tc>
          <w:tcPr>
            <w:tcW w:type="dxa" w:w="633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Większa z wartości zero lub minus Scenario Closing Stock Units.</w:t>
            </w:r>
          </w:p>
        </w:tc>
      </w:tr>
      <w:tr>
        <w:trPr>
          <w:cantSplit/>
        </w:trPr>
        <w:tc>
          <w:tcPr>
            <w:tcW w:type="dxa" w:w="338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Products in Shortage</w:t>
            </w:r>
          </w:p>
        </w:tc>
        <w:tc>
          <w:tcPr>
            <w:tcW w:type="dxa" w:w="633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Liczba produktów, dla których Current Stock Shortage Units jest większe od zera.</w:t>
            </w:r>
          </w:p>
        </w:tc>
      </w:tr>
    </w:tbl>
    <w:p>
      <w:pPr>
        <w:spacing w:after="20"/>
      </w:pPr>
    </w:p>
    <w:p>
      <w:pPr>
        <w:pStyle w:val="Heading1"/>
      </w:pPr>
      <w:r>
        <w:t>6 Interakcje i standard wizualny</w:t>
      </w:r>
    </w:p>
    <w:p>
      <w:r>
        <w:rPr>
          <w:rFonts w:ascii="Arial" w:hAnsi="Arial"/>
        </w:rPr>
        <w:t>Raport stosuje wspólny układ: slicery w górnym wierszu, główną macierz pod nimi i wykresy diagnostyczne w dolnej części strony. Jasne kontenery wizualizacji są oddzielone od neutralnego szarego tła planszy. Niebieski oznacza wolumen lub wartość bazową, granatowy pojemność albo serię porównawczą, czerwony ryzyko lub przeciążenie, a zielony spadek kosztu lub planu tam, gdzie ma on znaczenie opisowe.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2664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Element</w:t>
            </w:r>
          </w:p>
        </w:tc>
        <w:tc>
          <w:tcPr>
            <w:tcW w:type="dxa" w:w="7056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Zastosowanie</w:t>
            </w:r>
          </w:p>
        </w:tc>
      </w:tr>
      <w:tr>
        <w:trPr>
          <w:cantSplit/>
        </w:trPr>
        <w:tc>
          <w:tcPr>
            <w:tcW w:type="dxa" w:w="266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Slicery</w:t>
            </w:r>
          </w:p>
        </w:tc>
        <w:tc>
          <w:tcPr>
            <w:tcW w:type="dxa" w:w="705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Zawężają wspólny kontekst strony. W tacticalu wybór lega, start node i delivery node powinien odpowiadać istniejącej kombinacji trasy.</w:t>
            </w:r>
          </w:p>
        </w:tc>
      </w:tr>
      <w:tr>
        <w:trPr>
          <w:cantSplit/>
        </w:trPr>
        <w:tc>
          <w:tcPr>
            <w:tcW w:type="dxa" w:w="266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Bookmarki</w:t>
            </w:r>
          </w:p>
        </w:tc>
        <w:tc>
          <w:tcPr>
            <w:tcW w:type="dxa" w:w="705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Przełączają grupy Pickup Arrival oraz Tactical Short Term na stronie kosztowej bez tworzenia dodatkowych stron.</w:t>
            </w:r>
          </w:p>
        </w:tc>
      </w:tr>
      <w:tr>
        <w:trPr>
          <w:cantSplit/>
        </w:trPr>
        <w:tc>
          <w:tcPr>
            <w:tcW w:type="dxa" w:w="266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Field parameters</w:t>
            </w:r>
          </w:p>
        </w:tc>
        <w:tc>
          <w:tcPr>
            <w:tcW w:type="dxa" w:w="705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Zmieniają analizowaną miarę lub wymiar przy zachowaniu tego samego układu wizualizacji.</w:t>
            </w:r>
          </w:p>
        </w:tc>
      </w:tr>
      <w:tr>
        <w:trPr>
          <w:cantSplit/>
        </w:trPr>
        <w:tc>
          <w:tcPr>
            <w:tcW w:type="dxa" w:w="2664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Edit interactions</w:t>
            </w:r>
          </w:p>
        </w:tc>
        <w:tc>
          <w:tcPr>
            <w:tcW w:type="dxa" w:w="7056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Slicery filtrują wykresy i macierze; przyciski nawigacyjne nie powinny tworzyć przypadkowego filtrowania.</w:t>
            </w:r>
          </w:p>
        </w:tc>
      </w:tr>
      <w:tr>
        <w:trPr>
          <w:cantSplit/>
        </w:trPr>
        <w:tc>
          <w:tcPr>
            <w:tcW w:type="dxa" w:w="2664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Formatowanie warunkowe</w:t>
            </w:r>
          </w:p>
        </w:tc>
        <w:tc>
          <w:tcPr>
            <w:tcW w:type="dxa" w:w="7056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Podkreśla overload, niedobór stocku oraz istotne odchylenia kosztowe.</w:t>
            </w:r>
          </w:p>
        </w:tc>
      </w:tr>
    </w:tbl>
    <w:p>
      <w:pPr>
        <w:spacing w:after="20"/>
      </w:pPr>
    </w:p>
    <w:p>
      <w:pPr>
        <w:pStyle w:val="Heading1"/>
      </w:pPr>
      <w:r>
        <w:t>7 Zastosowania biznesowe</w:t>
      </w:r>
    </w:p>
    <w:p>
      <w:pPr>
        <w:pStyle w:val="ListNumber"/>
        <w:spacing w:after="60"/>
        <w:ind w:left="360" w:hanging="216"/>
      </w:pPr>
      <w:r>
        <w:rPr>
          <w:rFonts w:ascii="Arial" w:hAnsi="Arial"/>
        </w:rPr>
        <w:t>Planista wybiera tydzień i sprawdza, które legi wymagają dodatkowych pojazdów. Następnie przełącza Risk Dimension na przewoźnika, aby wskazać stronę odpowiedzialną za uzgodnienie pojemności.</w:t>
      </w:r>
    </w:p>
    <w:p>
      <w:pPr>
        <w:pStyle w:val="ListNumber"/>
        <w:spacing w:after="60"/>
        <w:ind w:left="360" w:hanging="216"/>
      </w:pPr>
      <w:r>
        <w:rPr>
          <w:rFonts w:ascii="Arial" w:hAnsi="Arial"/>
        </w:rPr>
        <w:t>Magazyn wybiera Arrival oraz własny delivery node, aby sprawdzić oczekiwany wolumen przyjazdów w kolejnych tygodniach.</w:t>
      </w:r>
    </w:p>
    <w:p>
      <w:pPr>
        <w:pStyle w:val="ListNumber"/>
        <w:spacing w:after="60"/>
        <w:ind w:left="360" w:hanging="216"/>
      </w:pPr>
      <w:r>
        <w:rPr>
          <w:rFonts w:ascii="Arial" w:hAnsi="Arial"/>
        </w:rPr>
        <w:t>Analityk porównuje current i previous tactical, identyfikuje największe rewizje i sprawdza, czy zmiana wynika z jednego lega, przewoźnika czy tygodnia.</w:t>
      </w:r>
    </w:p>
    <w:p>
      <w:pPr>
        <w:pStyle w:val="ListNumber"/>
        <w:spacing w:after="60"/>
        <w:ind w:left="360" w:hanging="216"/>
      </w:pPr>
      <w:r>
        <w:rPr>
          <w:rFonts w:ascii="Arial" w:hAnsi="Arial"/>
        </w:rPr>
        <w:t>Carrier manager porównuje koszt na pojazdokilometr i paletokilometr dla tras o podobnym dystansie i wolumenie, a następnie weryfikuje odstające stawki kontraktowe.</w:t>
      </w:r>
    </w:p>
    <w:p>
      <w:pPr>
        <w:pStyle w:val="ListNumber"/>
        <w:spacing w:after="60"/>
        <w:ind w:left="360" w:hanging="216"/>
      </w:pPr>
      <w:r>
        <w:rPr>
          <w:rFonts w:ascii="Arial" w:hAnsi="Arial"/>
        </w:rPr>
        <w:t>Planista materiałowy wybiera fabrykę i produkt, zwiększa demand o zadaną liczbę sztuk i obserwuje pierwszy tydzień, w którym scenariusz powoduje ujemny stock.</w:t>
      </w:r>
    </w:p>
    <w:p>
      <w:pPr>
        <w:pStyle w:val="Heading1"/>
      </w:pPr>
      <w:r>
        <w:t>8 Zakres wyłączony i ograniczenia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288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Element</w:t>
            </w:r>
          </w:p>
        </w:tc>
        <w:tc>
          <w:tcPr>
            <w:tcW w:type="dxa" w:w="684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Decyzja i uzasadnienie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Executive Overview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Usunięty. Raport ma wspierać analizę poprzez slicery, macierze i wyjątki, zamiast powielać ogólne karty KPI.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Short Term versus Tactical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Usunięty z finalnego zakresu. Krótki wspólny horyzont i różna ziarnistość utrudniały czytelną interpretację.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Factory Capacity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Nie utworzono strony. Dostępne dane nie zapewniają wystarczająco wiarygodnego modelu pojemności fabryk powiązanego ze stockiem.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Wiele zmian demandu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Scenariusz obsługuje jedną wartość, jedną fabrykę, jeden produkt i jeden tydzień na raz.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Tooltip i drill through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Świadomie pominięte, aby ograniczyć złożoność nawigacji w projekcie portfolio.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RLS i publikacja produkcyjna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Nie są częścią obecnego zakresu demonstracyjnego.</w:t>
            </w:r>
          </w:p>
        </w:tc>
      </w:tr>
    </w:tbl>
    <w:p>
      <w:pPr>
        <w:spacing w:after="20"/>
      </w:pPr>
    </w:p>
    <w:p>
      <w:pPr>
        <w:pStyle w:val="Heading1"/>
      </w:pPr>
      <w:r>
        <w:t>9 Kontrole po odświeżeniu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Zweryfikować, czy DimTacticalSnapshot zawiera dokładnie role CURRENT i PREVIOUS dla oczekiwanych publikacji.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Porównać sumę palet w Power BI z agregatem źródłowego widoku SQL przy tych samych filtrach snapshotu i tygodnia.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Sprawdzić, czy relacje pickup node i delivery node używają odpowiednio pickup_node_id i delivery_node_id.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Potwierdzić, że Capacity Utilization Percent jest liczone jako wolumen przez pojemność i nie jest sumowane po wierszach.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Sprawdzić koszty na pojedynczym legu: trucks razy cost per truck musi dawać total cost.</w:t>
      </w:r>
    </w:p>
    <w:p>
      <w:pPr>
        <w:pStyle w:val="ListBullet"/>
        <w:spacing w:after="60"/>
        <w:ind w:left="317" w:hanging="173"/>
      </w:pPr>
      <w:r>
        <w:rPr>
          <w:rFonts w:ascii="Arial" w:hAnsi="Arial"/>
        </w:rPr>
        <w:t>Sprawdzić scenariusz stocku na jednym produkcie, aby dodatkowy demand pojawiał się raz w requirement, ale obniżał closing stock w kolejnych tygodniach.</w:t>
      </w:r>
    </w:p>
    <w:p>
      <w:pPr>
        <w:pStyle w:val="Heading1"/>
      </w:pPr>
      <w:r>
        <w:t>10 Słownik nazw stron i miar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040"/>
        <w:gridCol w:w="5040"/>
      </w:tblGrid>
      <w:tr>
        <w:trPr>
          <w:tblHeader w:val="true"/>
        </w:trPr>
        <w:tc>
          <w:tcPr>
            <w:tcW w:type="dxa" w:w="288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Nazwa raportowa</w:t>
            </w:r>
          </w:p>
        </w:tc>
        <w:tc>
          <w:tcPr>
            <w:tcW w:type="dxa" w:w="6840"/>
            <w:shd w:fill="17365D"/>
            <w:vAlign w:val="center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7"/>
              </w:rPr>
              <w:t>Znaczenie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Tactical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Bieżący 16 tygodniowy plan transportowy.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Tactical Revision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Porównanie current i previous tactical.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Short Term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Operacyjny 14 dniowy plan odbiorów.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Transport Costs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Koszt transportu tactical i short term.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Stock Scenario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Scenariusz liczbowej zmiany popytu.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Stock Overview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Bazowa projekcja stocku według fabryki, produktu i tygodnia.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Leg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Fizyczny odcinek między origin node i destination node.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Overload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Wolumen palet przekraczający dostępną pojemność.</w:t>
            </w:r>
          </w:p>
        </w:tc>
      </w:tr>
      <w:tr>
        <w:trPr>
          <w:cantSplit/>
        </w:trPr>
        <w:tc>
          <w:tcPr>
            <w:tcW w:type="dxa" w:w="288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Revision</w:t>
            </w:r>
          </w:p>
        </w:tc>
        <w:tc>
          <w:tcPr>
            <w:tcW w:type="dxa" w:w="6840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Zmiana current minus previous.</w:t>
            </w:r>
          </w:p>
        </w:tc>
      </w:tr>
      <w:tr>
        <w:trPr>
          <w:cantSplit/>
        </w:trPr>
        <w:tc>
          <w:tcPr>
            <w:tcW w:type="dxa" w:w="288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Shortage</w:t>
            </w:r>
          </w:p>
        </w:tc>
        <w:tc>
          <w:tcPr>
            <w:tcW w:type="dxa" w:w="6840"/>
            <w:shd w:fill="F3F5F7"/>
            <w:vAlign w:val="center"/>
            <w:tcMar>
              <w:top w:w="105" w:type="dxa"/>
              <w:start w:w="110" w:type="dxa"/>
              <w:bottom w:w="105" w:type="dxa"/>
              <w:end w:w="110" w:type="dxa"/>
            </w:tcMar>
          </w:tcPr>
          <w:p>
            <w:pPr>
              <w:spacing w:after="0" w:line="240" w:lineRule="auto"/>
              <w:jc w:val="left"/>
            </w:pPr>
            <w:r>
              <w:rPr>
                <w:rFonts w:ascii="Arial" w:hAnsi="Arial"/>
                <w:sz w:val="17"/>
              </w:rPr>
              <w:t>Bezwzględna wartość ujemnego closing stocku.</w:t>
            </w:r>
          </w:p>
        </w:tc>
      </w:tr>
    </w:tbl>
    <w:p>
      <w:pPr>
        <w:spacing w:after="20"/>
      </w:pPr>
    </w:p>
    <w:sectPr w:rsidR="00FC693F" w:rsidRPr="0006063C" w:rsidSect="00034616">
      <w:footerReference w:type="default" r:id="rId9"/>
      <w:pgSz w:w="12240" w:h="15840"/>
      <w:pgMar w:top="1008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8352"/>
      <w:gridCol w:w="1728"/>
    </w:tblGrid>
    <w:tr>
      <w:tc>
        <w:tcPr>
          <w:tcW w:type="dxa" w:w="5040"/>
          <w:tcMar>
            <w:top w:w="0" w:type="dxa"/>
            <w:start w:w="0" w:type="dxa"/>
            <w:bottom w:w="0" w:type="dxa"/>
            <w:end w:w="0" w:type="dxa"/>
          </w:tcMar>
        </w:tcPr>
        <w:p>
          <w:pPr>
            <w:jc w:val="left"/>
          </w:pPr>
          <w:r>
            <w:rPr>
              <w:rFonts w:ascii="Arial" w:hAnsi="Arial"/>
              <w:color w:val="4F4F4F"/>
              <w:sz w:val="16"/>
            </w:rPr>
            <w:t>Autoparts Supply Chain Control Tower</w:t>
          </w:r>
        </w:p>
      </w:tc>
      <w:tc>
        <w:tcPr>
          <w:tcW w:type="dxa" w:w="5040"/>
          <w:tcMar>
            <w:top w:w="0" w:type="dxa"/>
            <w:start w:w="0" w:type="dxa"/>
            <w:bottom w:w="0" w:type="dxa"/>
            <w:end w:w="0" w:type="dxa"/>
          </w:tcMar>
        </w:tcPr>
        <w:p>
          <w:pPr>
            <w:jc w:val="right"/>
          </w:pPr>
          <w:r>
            <w:rPr>
              <w:rFonts w:ascii="Arial" w:hAnsi="Arial"/>
              <w:color w:val="4F4F4F"/>
              <w:sz w:val="16"/>
            </w:rPr>
            <w:t xml:space="preserve">Strona </w:t>
          </w:r>
          <w:r>
            <w:rPr>
              <w:rFonts w:ascii="Arial" w:hAnsi="Arial"/>
              <w:color w:val="4F4F4F"/>
              <w:sz w:val="16"/>
            </w:rPr>
            <w:fldChar w:fldCharType="begin"/>
            <w:instrText xml:space="preserve"> PAGE </w:instrText>
            <w:fldChar w:fldCharType="end"/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Arial" w:hAnsi="Arial"/>
      <w:color w:val="000000"/>
      <w:sz w:val="21"/>
      <w:lang w:val="pl-P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32"/>
      <w:szCs w:val="28"/>
      <w:lang w:val="pl-P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2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6"/>
      <w:szCs w:val="26"/>
      <w:lang w:val="pl-P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 w:ascii="Arial" w:hAnsi="Arial"/>
      <w:b/>
      <w:bCs/>
      <w:color w:val="000000"/>
      <w:sz w:val="23"/>
      <w:lang w:val="pl-P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4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  <w:lang w:val="pl-PL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440"/>
    </w:pPr>
    <w:rPr>
      <w:rFonts w:asciiTheme="majorHAnsi" w:eastAsiaTheme="majorEastAsia" w:hAnsiTheme="majorHAnsi" w:cstheme="majorBidi" w:ascii="Arial" w:hAnsi="Arial"/>
      <w:i/>
      <w:iCs/>
      <w:color w:val="4F4F4F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Label">
    <w:name w:val="Small Label"/>
    <w:pPr>
      <w:spacing w:after="140"/>
    </w:pPr>
    <w:rPr>
      <w:rFonts w:ascii="Arial" w:hAnsi="Arial"/>
      <w:b/>
      <w:color w:val="1F78B4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raportu Power BI Autoparts Supply Chain Control Tower</dc:title>
  <dc:subject>Power BI report documentation for the Autoparts Supply Chain Control Tower portfolio project</dc:subject>
  <dc:creator>Kamil Soja</dc:creator>
  <cp:keywords>Power BI, Azure SQL, supply chain, tactical planning, transport, stock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