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mallLabel"/>
      </w:pPr>
      <w:r>
        <w:t>TECHNICAL AND FUNCTIONAL DOCUMENTATION</w:t>
      </w:r>
    </w:p>
    <w:p>
      <w:pPr>
        <w:pStyle w:val="Title"/>
      </w:pPr>
      <w:r>
        <w:t>Power BI Report Documentation for Autoparts Supply Chain Control Tower</w:t>
      </w:r>
    </w:p>
    <w:p>
      <w:pPr>
        <w:pStyle w:val="Subtitle"/>
      </w:pPr>
      <w:r>
        <w:t>Semantic model business logic report pages and user guidance</w:t>
      </w:r>
    </w:p>
    <w:tbl>
      <w:tblPr>
        <w:tblW w:type="auto" w:w="0"/>
        <w:jc w:val="left"/>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376"/>
        <w:gridCol w:w="7344"/>
      </w:tblGrid>
      <w:tr>
        <w:tc>
          <w:tcPr>
            <w:tcW w:type="dxa" w:w="2376"/>
            <w:shd w:fill="EAF2F8"/>
            <w:vAlign w:val="center"/>
            <w:tcMar>
              <w:top w:w="110" w:type="dxa"/>
              <w:start w:w="130" w:type="dxa"/>
              <w:bottom w:w="110" w:type="dxa"/>
              <w:end w:w="130" w:type="dxa"/>
            </w:tcMar>
          </w:tcPr>
          <w:p>
            <w:pPr>
              <w:spacing w:after="0"/>
            </w:pPr>
            <w:r>
              <w:rPr>
                <w:rFonts w:ascii="Arial" w:hAnsi="Arial"/>
                <w:b/>
                <w:sz w:val="19"/>
              </w:rPr>
              <w:t>Author</w:t>
            </w:r>
          </w:p>
        </w:tc>
        <w:tc>
          <w:tcPr>
            <w:tcW w:type="dxa" w:w="7344"/>
            <w:vAlign w:val="center"/>
            <w:tcMar>
              <w:top w:w="110" w:type="dxa"/>
              <w:start w:w="130" w:type="dxa"/>
              <w:bottom w:w="110" w:type="dxa"/>
              <w:end w:w="130" w:type="dxa"/>
            </w:tcMar>
          </w:tcPr>
          <w:p>
            <w:pPr>
              <w:spacing w:after="0"/>
            </w:pPr>
            <w:r>
              <w:rPr>
                <w:rFonts w:ascii="Arial" w:hAnsi="Arial"/>
                <w:sz w:val="19"/>
              </w:rPr>
              <w:t>Kamil Soja</w:t>
            </w:r>
          </w:p>
        </w:tc>
      </w:tr>
      <w:tr>
        <w:tc>
          <w:tcPr>
            <w:tcW w:type="dxa" w:w="2376"/>
            <w:shd w:fill="EAF2F8"/>
            <w:vAlign w:val="center"/>
            <w:tcMar>
              <w:top w:w="110" w:type="dxa"/>
              <w:start w:w="130" w:type="dxa"/>
              <w:bottom w:w="110" w:type="dxa"/>
              <w:end w:w="130" w:type="dxa"/>
            </w:tcMar>
          </w:tcPr>
          <w:p>
            <w:pPr>
              <w:spacing w:after="0"/>
            </w:pPr>
            <w:r>
              <w:rPr>
                <w:rFonts w:ascii="Arial" w:hAnsi="Arial"/>
                <w:b/>
                <w:sz w:val="19"/>
              </w:rPr>
              <w:t>Project type</w:t>
            </w:r>
          </w:p>
        </w:tc>
        <w:tc>
          <w:tcPr>
            <w:tcW w:type="dxa" w:w="7344"/>
            <w:vAlign w:val="center"/>
            <w:tcMar>
              <w:top w:w="110" w:type="dxa"/>
              <w:start w:w="130" w:type="dxa"/>
              <w:bottom w:w="110" w:type="dxa"/>
              <w:end w:w="130" w:type="dxa"/>
            </w:tcMar>
          </w:tcPr>
          <w:p>
            <w:pPr>
              <w:spacing w:after="0"/>
            </w:pPr>
            <w:r>
              <w:rPr>
                <w:rFonts w:ascii="Arial" w:hAnsi="Arial"/>
                <w:sz w:val="19"/>
              </w:rPr>
              <w:t>Private portfolio project</w:t>
            </w:r>
          </w:p>
        </w:tc>
      </w:tr>
      <w:tr>
        <w:tc>
          <w:tcPr>
            <w:tcW w:type="dxa" w:w="2376"/>
            <w:shd w:fill="EAF2F8"/>
            <w:vAlign w:val="center"/>
            <w:tcMar>
              <w:top w:w="110" w:type="dxa"/>
              <w:start w:w="130" w:type="dxa"/>
              <w:bottom w:w="110" w:type="dxa"/>
              <w:end w:w="130" w:type="dxa"/>
            </w:tcMar>
          </w:tcPr>
          <w:p>
            <w:pPr>
              <w:spacing w:after="0"/>
            </w:pPr>
            <w:r>
              <w:rPr>
                <w:rFonts w:ascii="Arial" w:hAnsi="Arial"/>
                <w:b/>
                <w:sz w:val="19"/>
              </w:rPr>
              <w:t>Version</w:t>
            </w:r>
          </w:p>
        </w:tc>
        <w:tc>
          <w:tcPr>
            <w:tcW w:type="dxa" w:w="7344"/>
            <w:vAlign w:val="center"/>
            <w:tcMar>
              <w:top w:w="110" w:type="dxa"/>
              <w:start w:w="130" w:type="dxa"/>
              <w:bottom w:w="110" w:type="dxa"/>
              <w:end w:w="130" w:type="dxa"/>
            </w:tcMar>
          </w:tcPr>
          <w:p>
            <w:pPr>
              <w:spacing w:after="0"/>
            </w:pPr>
            <w:r>
              <w:rPr>
                <w:rFonts w:ascii="Arial" w:hAnsi="Arial"/>
                <w:sz w:val="19"/>
              </w:rPr>
              <w:t>1.0</w:t>
            </w:r>
          </w:p>
        </w:tc>
      </w:tr>
      <w:tr>
        <w:tc>
          <w:tcPr>
            <w:tcW w:type="dxa" w:w="2376"/>
            <w:shd w:fill="EAF2F8"/>
            <w:vAlign w:val="center"/>
            <w:tcMar>
              <w:top w:w="110" w:type="dxa"/>
              <w:start w:w="130" w:type="dxa"/>
              <w:bottom w:w="110" w:type="dxa"/>
              <w:end w:w="130" w:type="dxa"/>
            </w:tcMar>
          </w:tcPr>
          <w:p>
            <w:pPr>
              <w:spacing w:after="0"/>
            </w:pPr>
            <w:r>
              <w:rPr>
                <w:rFonts w:ascii="Arial" w:hAnsi="Arial"/>
                <w:b/>
                <w:sz w:val="19"/>
              </w:rPr>
              <w:t>Date</w:t>
            </w:r>
          </w:p>
        </w:tc>
        <w:tc>
          <w:tcPr>
            <w:tcW w:type="dxa" w:w="7344"/>
            <w:vAlign w:val="center"/>
            <w:tcMar>
              <w:top w:w="110" w:type="dxa"/>
              <w:start w:w="130" w:type="dxa"/>
              <w:bottom w:w="110" w:type="dxa"/>
              <w:end w:w="130" w:type="dxa"/>
            </w:tcMar>
          </w:tcPr>
          <w:p>
            <w:pPr>
              <w:spacing w:after="0"/>
            </w:pPr>
            <w:r>
              <w:rPr>
                <w:rFonts w:ascii="Arial" w:hAnsi="Arial"/>
                <w:sz w:val="19"/>
              </w:rPr>
              <w:t>24 September 2026</w:t>
            </w:r>
          </w:p>
        </w:tc>
      </w:tr>
      <w:tr>
        <w:tc>
          <w:tcPr>
            <w:tcW w:type="dxa" w:w="2376"/>
            <w:shd w:fill="EAF2F8"/>
            <w:vAlign w:val="center"/>
            <w:tcMar>
              <w:top w:w="110" w:type="dxa"/>
              <w:start w:w="130" w:type="dxa"/>
              <w:bottom w:w="110" w:type="dxa"/>
              <w:end w:w="130" w:type="dxa"/>
            </w:tcMar>
          </w:tcPr>
          <w:p>
            <w:pPr>
              <w:spacing w:after="0"/>
            </w:pPr>
            <w:r>
              <w:rPr>
                <w:rFonts w:ascii="Arial" w:hAnsi="Arial"/>
                <w:b/>
                <w:sz w:val="19"/>
              </w:rPr>
              <w:t>Technology</w:t>
            </w:r>
          </w:p>
        </w:tc>
        <w:tc>
          <w:tcPr>
            <w:tcW w:type="dxa" w:w="7344"/>
            <w:vAlign w:val="center"/>
            <w:tcMar>
              <w:top w:w="110" w:type="dxa"/>
              <w:start w:w="130" w:type="dxa"/>
              <w:bottom w:w="110" w:type="dxa"/>
              <w:end w:w="130" w:type="dxa"/>
            </w:tcMar>
          </w:tcPr>
          <w:p>
            <w:pPr>
              <w:spacing w:after="0"/>
            </w:pPr>
            <w:r>
              <w:rPr>
                <w:rFonts w:ascii="Arial" w:hAnsi="Arial"/>
                <w:sz w:val="19"/>
              </w:rPr>
              <w:t>Azure SQL Database and Power BI Desktop</w:t>
            </w:r>
          </w:p>
        </w:tc>
      </w:tr>
    </w:tbl>
    <w:p/>
    <w:p>
      <w:r>
        <w:br w:type="page"/>
      </w:r>
    </w:p>
    <w:p>
      <w:pPr>
        <w:pStyle w:val="Heading1"/>
      </w:pPr>
      <w:r>
        <w:t>1 Report purpose</w:t>
      </w:r>
    </w:p>
    <w:p>
      <w:r>
        <w:rPr>
          <w:rFonts w:ascii="Arial" w:hAnsi="Arial"/>
        </w:rPr>
        <w:t>The report presents transport and inventory planning for a fictional automotive components manufacturer. Azure SQL converts customer input into a carrier transport plan and factory stock projection. Power BI provides the analytical layer for transport planners, supply chain analysts and operations managers.</w:t>
      </w:r>
    </w:p>
    <w:p>
      <w:r>
        <w:rPr>
          <w:rFonts w:ascii="Arial" w:hAnsi="Arial"/>
        </w:rPr>
        <w:t>The report answers operational questions: what volume must be collected or delivered, on which leg and in which period; where allocated volume exceeds carrier capacity; how the current plan changed from the previous publication; how much transport costs by leg and carrier; and where projected stock becomes negative.</w:t>
      </w:r>
    </w:p>
    <w:p>
      <w:pPr>
        <w:pStyle w:val="Heading2"/>
      </w:pPr>
      <w:r>
        <w:t>1 1 Intended users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2376"/>
            <w:shd w:fill="17365D"/>
            <w:vAlign w:val="center"/>
            <w:tcMar>
              <w:top w:w="100" w:type="dxa"/>
              <w:start w:w="100" w:type="dxa"/>
              <w:bottom w:w="100" w:type="dxa"/>
              <w:end w:w="100" w:type="dxa"/>
            </w:tcMar>
          </w:tcPr>
          <w:p>
            <w:pPr>
              <w:spacing w:after="0"/>
              <w:jc w:val="center"/>
            </w:pPr>
            <w:r>
              <w:rPr>
                <w:rFonts w:ascii="Arial" w:hAnsi="Arial"/>
                <w:b/>
                <w:color w:val="FFFFFF"/>
                <w:sz w:val="17"/>
              </w:rPr>
              <w:t>Role</w:t>
            </w:r>
          </w:p>
        </w:tc>
        <w:tc>
          <w:tcPr>
            <w:tcW w:type="dxa" w:w="7344"/>
            <w:shd w:fill="17365D"/>
            <w:vAlign w:val="center"/>
            <w:tcMar>
              <w:top w:w="100" w:type="dxa"/>
              <w:start w:w="100" w:type="dxa"/>
              <w:bottom w:w="100" w:type="dxa"/>
              <w:end w:w="100" w:type="dxa"/>
            </w:tcMar>
          </w:tcPr>
          <w:p>
            <w:pPr>
              <w:spacing w:after="0"/>
              <w:jc w:val="center"/>
            </w:pPr>
            <w:r>
              <w:rPr>
                <w:rFonts w:ascii="Arial" w:hAnsi="Arial"/>
                <w:b/>
                <w:color w:val="FFFFFF"/>
                <w:sz w:val="17"/>
              </w:rPr>
              <w:t>Primary use</w:t>
            </w:r>
          </w:p>
        </w:tc>
      </w:tr>
      <w:tr>
        <w:trPr>
          <w:cantSplit/>
        </w:trPr>
        <w:tc>
          <w:tcPr>
            <w:tcW w:type="dxa" w:w="2376"/>
            <w:vAlign w:val="center"/>
            <w:tcMar>
              <w:top w:w="105" w:type="dxa"/>
              <w:start w:w="110" w:type="dxa"/>
              <w:bottom w:w="105" w:type="dxa"/>
              <w:end w:w="110" w:type="dxa"/>
            </w:tcMar>
          </w:tcPr>
          <w:p>
            <w:pPr>
              <w:spacing w:after="0" w:line="240" w:lineRule="auto"/>
              <w:jc w:val="left"/>
            </w:pPr>
            <w:r>
              <w:rPr>
                <w:rFonts w:ascii="Arial" w:hAnsi="Arial"/>
                <w:sz w:val="17"/>
              </w:rPr>
              <w:t>Transport planner</w:t>
            </w:r>
          </w:p>
        </w:tc>
        <w:tc>
          <w:tcPr>
            <w:tcW w:type="dxa" w:w="7344"/>
            <w:vAlign w:val="center"/>
            <w:tcMar>
              <w:top w:w="105" w:type="dxa"/>
              <w:start w:w="110" w:type="dxa"/>
              <w:bottom w:w="105" w:type="dxa"/>
              <w:end w:w="110" w:type="dxa"/>
            </w:tcMar>
          </w:tcPr>
          <w:p>
            <w:pPr>
              <w:spacing w:after="0" w:line="240" w:lineRule="auto"/>
              <w:jc w:val="left"/>
            </w:pPr>
            <w:r>
              <w:rPr>
                <w:rFonts w:ascii="Arial" w:hAnsi="Arial"/>
                <w:sz w:val="17"/>
              </w:rPr>
              <w:t>Monitor volume, capacity, overload and required trucks.</w:t>
            </w:r>
          </w:p>
        </w:tc>
      </w:tr>
      <w:tr>
        <w:trPr>
          <w:cantSplit/>
        </w:trPr>
        <w:tc>
          <w:tcPr>
            <w:tcW w:type="dxa" w:w="2376"/>
            <w:shd w:fill="F3F5F7"/>
            <w:vAlign w:val="center"/>
            <w:tcMar>
              <w:top w:w="105" w:type="dxa"/>
              <w:start w:w="110" w:type="dxa"/>
              <w:bottom w:w="105" w:type="dxa"/>
              <w:end w:w="110" w:type="dxa"/>
            </w:tcMar>
          </w:tcPr>
          <w:p>
            <w:pPr>
              <w:spacing w:after="0" w:line="240" w:lineRule="auto"/>
              <w:jc w:val="left"/>
            </w:pPr>
            <w:r>
              <w:rPr>
                <w:rFonts w:ascii="Arial" w:hAnsi="Arial"/>
                <w:sz w:val="17"/>
              </w:rPr>
              <w:t>Supply chain analyst</w:t>
            </w:r>
          </w:p>
        </w:tc>
        <w:tc>
          <w:tcPr>
            <w:tcW w:type="dxa" w:w="7344"/>
            <w:shd w:fill="F3F5F7"/>
            <w:vAlign w:val="center"/>
            <w:tcMar>
              <w:top w:w="105" w:type="dxa"/>
              <w:start w:w="110" w:type="dxa"/>
              <w:bottom w:w="105" w:type="dxa"/>
              <w:end w:w="110" w:type="dxa"/>
            </w:tcMar>
          </w:tcPr>
          <w:p>
            <w:pPr>
              <w:spacing w:after="0" w:line="240" w:lineRule="auto"/>
              <w:jc w:val="left"/>
            </w:pPr>
            <w:r>
              <w:rPr>
                <w:rFonts w:ascii="Arial" w:hAnsi="Arial"/>
                <w:sz w:val="17"/>
              </w:rPr>
              <w:t>Analyse plan revisions, transport cost and stock shortage risk.</w:t>
            </w:r>
          </w:p>
        </w:tc>
      </w:tr>
      <w:tr>
        <w:trPr>
          <w:cantSplit/>
        </w:trPr>
        <w:tc>
          <w:tcPr>
            <w:tcW w:type="dxa" w:w="2376"/>
            <w:vAlign w:val="center"/>
            <w:tcMar>
              <w:top w:w="105" w:type="dxa"/>
              <w:start w:w="110" w:type="dxa"/>
              <w:bottom w:w="105" w:type="dxa"/>
              <w:end w:w="110" w:type="dxa"/>
            </w:tcMar>
          </w:tcPr>
          <w:p>
            <w:pPr>
              <w:spacing w:after="0" w:line="240" w:lineRule="auto"/>
              <w:jc w:val="left"/>
            </w:pPr>
            <w:r>
              <w:rPr>
                <w:rFonts w:ascii="Arial" w:hAnsi="Arial"/>
                <w:sz w:val="17"/>
              </w:rPr>
              <w:t>Carrier manager</w:t>
            </w:r>
          </w:p>
        </w:tc>
        <w:tc>
          <w:tcPr>
            <w:tcW w:type="dxa" w:w="7344"/>
            <w:vAlign w:val="center"/>
            <w:tcMar>
              <w:top w:w="105" w:type="dxa"/>
              <w:start w:w="110" w:type="dxa"/>
              <w:bottom w:w="105" w:type="dxa"/>
              <w:end w:w="110" w:type="dxa"/>
            </w:tcMar>
          </w:tcPr>
          <w:p>
            <w:pPr>
              <w:spacing w:after="0" w:line="240" w:lineRule="auto"/>
              <w:jc w:val="left"/>
            </w:pPr>
            <w:r>
              <w:rPr>
                <w:rFonts w:ascii="Arial" w:hAnsi="Arial"/>
                <w:sz w:val="17"/>
              </w:rPr>
              <w:t>Compare capacity utilisation and carrier rates by transport leg.</w:t>
            </w:r>
          </w:p>
        </w:tc>
      </w:tr>
      <w:tr>
        <w:trPr>
          <w:cantSplit/>
        </w:trPr>
        <w:tc>
          <w:tcPr>
            <w:tcW w:type="dxa" w:w="2376"/>
            <w:shd w:fill="F3F5F7"/>
            <w:vAlign w:val="center"/>
            <w:tcMar>
              <w:top w:w="105" w:type="dxa"/>
              <w:start w:w="110" w:type="dxa"/>
              <w:bottom w:w="105" w:type="dxa"/>
              <w:end w:w="110" w:type="dxa"/>
            </w:tcMar>
          </w:tcPr>
          <w:p>
            <w:pPr>
              <w:spacing w:after="0" w:line="240" w:lineRule="auto"/>
              <w:jc w:val="left"/>
            </w:pPr>
            <w:r>
              <w:rPr>
                <w:rFonts w:ascii="Arial" w:hAnsi="Arial"/>
                <w:sz w:val="17"/>
              </w:rPr>
              <w:t>Operations manager</w:t>
            </w:r>
          </w:p>
        </w:tc>
        <w:tc>
          <w:tcPr>
            <w:tcW w:type="dxa" w:w="7344"/>
            <w:shd w:fill="F3F5F7"/>
            <w:vAlign w:val="center"/>
            <w:tcMar>
              <w:top w:w="105" w:type="dxa"/>
              <w:start w:w="110" w:type="dxa"/>
              <w:bottom w:w="105" w:type="dxa"/>
              <w:end w:w="110" w:type="dxa"/>
            </w:tcMar>
          </w:tcPr>
          <w:p>
            <w:pPr>
              <w:spacing w:after="0" w:line="240" w:lineRule="auto"/>
              <w:jc w:val="left"/>
            </w:pPr>
            <w:r>
              <w:rPr>
                <w:rFonts w:ascii="Arial" w:hAnsi="Arial"/>
                <w:sz w:val="17"/>
              </w:rPr>
              <w:t>Assess the scale of exceptions that require a decision or carrier action.</w:t>
            </w:r>
          </w:p>
        </w:tc>
      </w:tr>
    </w:tbl>
    <w:p>
      <w:pPr>
        <w:spacing w:after="20"/>
      </w:pPr>
    </w:p>
    <w:p>
      <w:pPr>
        <w:pStyle w:val="Heading1"/>
      </w:pPr>
      <w:r>
        <w:t>2 Data scope</w:t>
      </w:r>
    </w:p>
    <w:p>
      <w:r>
        <w:rPr>
          <w:rFonts w:ascii="Arial" w:hAnsi="Arial"/>
        </w:rPr>
        <w:t>The report model uses curated Azure SQL fact and dimension tables. Raw input is not aggregated directly in report visuals. Data cleaning, reconciliation, route expansion into physical legs, carrier allocation, capacity, cost and stock projection logic are completed before the reporting layer.</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520"/>
        <w:gridCol w:w="2520"/>
        <w:gridCol w:w="2520"/>
        <w:gridCol w:w="2520"/>
      </w:tblGrid>
      <w:tr>
        <w:trPr>
          <w:tblHeader w:val="true"/>
        </w:trPr>
        <w:tc>
          <w:tcPr>
            <w:tcW w:type="dxa" w:w="1944"/>
            <w:shd w:fill="17365D"/>
            <w:vAlign w:val="center"/>
            <w:tcMar>
              <w:top w:w="100" w:type="dxa"/>
              <w:start w:w="100" w:type="dxa"/>
              <w:bottom w:w="100" w:type="dxa"/>
              <w:end w:w="100" w:type="dxa"/>
            </w:tcMar>
          </w:tcPr>
          <w:p>
            <w:pPr>
              <w:spacing w:after="0"/>
              <w:jc w:val="center"/>
            </w:pPr>
            <w:r>
              <w:rPr>
                <w:rFonts w:ascii="Arial" w:hAnsi="Arial"/>
                <w:b/>
                <w:color w:val="FFFFFF"/>
                <w:sz w:val="17"/>
              </w:rPr>
              <w:t>Plan</w:t>
            </w:r>
          </w:p>
        </w:tc>
        <w:tc>
          <w:tcPr>
            <w:tcW w:type="dxa" w:w="3096"/>
            <w:shd w:fill="17365D"/>
            <w:vAlign w:val="center"/>
            <w:tcMar>
              <w:top w:w="100" w:type="dxa"/>
              <w:start w:w="100" w:type="dxa"/>
              <w:bottom w:w="100" w:type="dxa"/>
              <w:end w:w="100" w:type="dxa"/>
            </w:tcMar>
          </w:tcPr>
          <w:p>
            <w:pPr>
              <w:spacing w:after="0"/>
              <w:jc w:val="center"/>
            </w:pPr>
            <w:r>
              <w:rPr>
                <w:rFonts w:ascii="Arial" w:hAnsi="Arial"/>
                <w:b/>
                <w:color w:val="FFFFFF"/>
                <w:sz w:val="17"/>
              </w:rPr>
              <w:t>Snapshot identifier</w:t>
            </w:r>
          </w:p>
        </w:tc>
        <w:tc>
          <w:tcPr>
            <w:tcW w:type="dxa" w:w="2736"/>
            <w:shd w:fill="17365D"/>
            <w:vAlign w:val="center"/>
            <w:tcMar>
              <w:top w:w="100" w:type="dxa"/>
              <w:start w:w="100" w:type="dxa"/>
              <w:bottom w:w="100" w:type="dxa"/>
              <w:end w:w="100" w:type="dxa"/>
            </w:tcMar>
          </w:tcPr>
          <w:p>
            <w:pPr>
              <w:spacing w:after="0"/>
              <w:jc w:val="center"/>
            </w:pPr>
            <w:r>
              <w:rPr>
                <w:rFonts w:ascii="Arial" w:hAnsi="Arial"/>
                <w:b/>
                <w:color w:val="FFFFFF"/>
                <w:sz w:val="17"/>
              </w:rPr>
              <w:t>Coverage</w:t>
            </w:r>
          </w:p>
        </w:tc>
        <w:tc>
          <w:tcPr>
            <w:tcW w:type="dxa" w:w="1944"/>
            <w:shd w:fill="17365D"/>
            <w:vAlign w:val="center"/>
            <w:tcMar>
              <w:top w:w="100" w:type="dxa"/>
              <w:start w:w="100" w:type="dxa"/>
              <w:bottom w:w="100" w:type="dxa"/>
              <w:end w:w="100" w:type="dxa"/>
            </w:tcMar>
          </w:tcPr>
          <w:p>
            <w:pPr>
              <w:spacing w:after="0"/>
              <w:jc w:val="center"/>
            </w:pPr>
            <w:r>
              <w:rPr>
                <w:rFonts w:ascii="Arial" w:hAnsi="Arial"/>
                <w:b/>
                <w:color w:val="FFFFFF"/>
                <w:sz w:val="17"/>
              </w:rPr>
              <w:t>Grain</w:t>
            </w:r>
          </w:p>
        </w:tc>
      </w:tr>
      <w:tr>
        <w:trPr>
          <w:cantSplit/>
        </w:trPr>
        <w:tc>
          <w:tcPr>
            <w:tcW w:type="dxa" w:w="1944"/>
            <w:vAlign w:val="center"/>
            <w:tcMar>
              <w:top w:w="105" w:type="dxa"/>
              <w:start w:w="110" w:type="dxa"/>
              <w:bottom w:w="105" w:type="dxa"/>
              <w:end w:w="110" w:type="dxa"/>
            </w:tcMar>
          </w:tcPr>
          <w:p>
            <w:pPr>
              <w:spacing w:after="0" w:line="240" w:lineRule="auto"/>
              <w:jc w:val="left"/>
            </w:pPr>
            <w:r>
              <w:rPr>
                <w:rFonts w:ascii="Arial" w:hAnsi="Arial"/>
                <w:sz w:val="17"/>
              </w:rPr>
              <w:t>Current Tactical</w:t>
            </w:r>
          </w:p>
        </w:tc>
        <w:tc>
          <w:tcPr>
            <w:tcW w:type="dxa" w:w="3096"/>
            <w:vAlign w:val="center"/>
            <w:tcMar>
              <w:top w:w="105" w:type="dxa"/>
              <w:start w:w="110" w:type="dxa"/>
              <w:bottom w:w="105" w:type="dxa"/>
              <w:end w:w="110" w:type="dxa"/>
            </w:tcMar>
          </w:tcPr>
          <w:p>
            <w:pPr>
              <w:spacing w:after="0" w:line="240" w:lineRule="auto"/>
              <w:jc w:val="left"/>
            </w:pPr>
            <w:r>
              <w:rPr>
                <w:rFonts w:ascii="Arial" w:hAnsi="Arial"/>
                <w:sz w:val="17"/>
              </w:rPr>
              <w:t>TACTICAL_2026-08-28_V01</w:t>
            </w:r>
          </w:p>
        </w:tc>
        <w:tc>
          <w:tcPr>
            <w:tcW w:type="dxa" w:w="2736"/>
            <w:vAlign w:val="center"/>
            <w:tcMar>
              <w:top w:w="105" w:type="dxa"/>
              <w:start w:w="110" w:type="dxa"/>
              <w:bottom w:w="105" w:type="dxa"/>
              <w:end w:w="110" w:type="dxa"/>
            </w:tcMar>
          </w:tcPr>
          <w:p>
            <w:pPr>
              <w:spacing w:after="0" w:line="240" w:lineRule="auto"/>
              <w:jc w:val="left"/>
            </w:pPr>
            <w:r>
              <w:rPr>
                <w:rFonts w:ascii="Arial" w:hAnsi="Arial"/>
                <w:sz w:val="17"/>
              </w:rPr>
              <w:t>2026-08-24 to 2026-12-07</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7"/>
              </w:rPr>
              <w:t>16 weeks</w:t>
            </w:r>
          </w:p>
        </w:tc>
      </w:tr>
      <w:tr>
        <w:trPr>
          <w:cantSplit/>
        </w:trPr>
        <w:tc>
          <w:tcPr>
            <w:tcW w:type="dxa" w:w="1944"/>
            <w:shd w:fill="F3F5F7"/>
            <w:vAlign w:val="center"/>
            <w:tcMar>
              <w:top w:w="105" w:type="dxa"/>
              <w:start w:w="110" w:type="dxa"/>
              <w:bottom w:w="105" w:type="dxa"/>
              <w:end w:w="110" w:type="dxa"/>
            </w:tcMar>
          </w:tcPr>
          <w:p>
            <w:pPr>
              <w:spacing w:after="0" w:line="240" w:lineRule="auto"/>
              <w:jc w:val="left"/>
            </w:pPr>
            <w:r>
              <w:rPr>
                <w:rFonts w:ascii="Arial" w:hAnsi="Arial"/>
                <w:sz w:val="17"/>
              </w:rPr>
              <w:t>Previous Tactical</w:t>
            </w:r>
          </w:p>
        </w:tc>
        <w:tc>
          <w:tcPr>
            <w:tcW w:type="dxa" w:w="3096"/>
            <w:shd w:fill="F3F5F7"/>
            <w:vAlign w:val="center"/>
            <w:tcMar>
              <w:top w:w="105" w:type="dxa"/>
              <w:start w:w="110" w:type="dxa"/>
              <w:bottom w:w="105" w:type="dxa"/>
              <w:end w:w="110" w:type="dxa"/>
            </w:tcMar>
          </w:tcPr>
          <w:p>
            <w:pPr>
              <w:spacing w:after="0" w:line="240" w:lineRule="auto"/>
              <w:jc w:val="left"/>
            </w:pPr>
            <w:r>
              <w:rPr>
                <w:rFonts w:ascii="Arial" w:hAnsi="Arial"/>
                <w:sz w:val="17"/>
              </w:rPr>
              <w:t>TACTICAL_2026-07-31_V03</w:t>
            </w:r>
          </w:p>
        </w:tc>
        <w:tc>
          <w:tcPr>
            <w:tcW w:type="dxa" w:w="2736"/>
            <w:shd w:fill="F3F5F7"/>
            <w:vAlign w:val="center"/>
            <w:tcMar>
              <w:top w:w="105" w:type="dxa"/>
              <w:start w:w="110" w:type="dxa"/>
              <w:bottom w:w="105" w:type="dxa"/>
              <w:end w:w="110" w:type="dxa"/>
            </w:tcMar>
          </w:tcPr>
          <w:p>
            <w:pPr>
              <w:spacing w:after="0" w:line="240" w:lineRule="auto"/>
              <w:jc w:val="left"/>
            </w:pPr>
            <w:r>
              <w:rPr>
                <w:rFonts w:ascii="Arial" w:hAnsi="Arial"/>
                <w:sz w:val="17"/>
              </w:rPr>
              <w:t>2026-07-27 to 2026-11-09</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7"/>
              </w:rPr>
              <w:t>16 weeks</w:t>
            </w:r>
          </w:p>
        </w:tc>
      </w:tr>
      <w:tr>
        <w:trPr>
          <w:cantSplit/>
        </w:trPr>
        <w:tc>
          <w:tcPr>
            <w:tcW w:type="dxa" w:w="1944"/>
            <w:vAlign w:val="center"/>
            <w:tcMar>
              <w:top w:w="105" w:type="dxa"/>
              <w:start w:w="110" w:type="dxa"/>
              <w:bottom w:w="105" w:type="dxa"/>
              <w:end w:w="110" w:type="dxa"/>
            </w:tcMar>
          </w:tcPr>
          <w:p>
            <w:pPr>
              <w:spacing w:after="0" w:line="240" w:lineRule="auto"/>
              <w:jc w:val="left"/>
            </w:pPr>
            <w:r>
              <w:rPr>
                <w:rFonts w:ascii="Arial" w:hAnsi="Arial"/>
                <w:sz w:val="17"/>
              </w:rPr>
              <w:t>Short Term</w:t>
            </w:r>
          </w:p>
        </w:tc>
        <w:tc>
          <w:tcPr>
            <w:tcW w:type="dxa" w:w="3096"/>
            <w:vAlign w:val="center"/>
            <w:tcMar>
              <w:top w:w="105" w:type="dxa"/>
              <w:start w:w="110" w:type="dxa"/>
              <w:bottom w:w="105" w:type="dxa"/>
              <w:end w:w="110" w:type="dxa"/>
            </w:tcMar>
          </w:tcPr>
          <w:p>
            <w:pPr>
              <w:spacing w:after="0" w:line="240" w:lineRule="auto"/>
              <w:jc w:val="left"/>
            </w:pPr>
            <w:r>
              <w:rPr>
                <w:rFonts w:ascii="Arial" w:hAnsi="Arial"/>
                <w:sz w:val="17"/>
              </w:rPr>
              <w:t>SHORT_TERM_2026-08-17_V03</w:t>
            </w:r>
          </w:p>
        </w:tc>
        <w:tc>
          <w:tcPr>
            <w:tcW w:type="dxa" w:w="2736"/>
            <w:vAlign w:val="center"/>
            <w:tcMar>
              <w:top w:w="105" w:type="dxa"/>
              <w:start w:w="110" w:type="dxa"/>
              <w:bottom w:w="105" w:type="dxa"/>
              <w:end w:w="110" w:type="dxa"/>
            </w:tcMar>
          </w:tcPr>
          <w:p>
            <w:pPr>
              <w:spacing w:after="0" w:line="240" w:lineRule="auto"/>
              <w:jc w:val="left"/>
            </w:pPr>
            <w:r>
              <w:rPr>
                <w:rFonts w:ascii="Arial" w:hAnsi="Arial"/>
                <w:sz w:val="17"/>
              </w:rPr>
              <w:t>2026-08-19 to 2026-09-01</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7"/>
              </w:rPr>
              <w:t>14 days</w:t>
            </w:r>
          </w:p>
        </w:tc>
      </w:tr>
      <w:tr>
        <w:trPr>
          <w:cantSplit/>
        </w:trPr>
        <w:tc>
          <w:tcPr>
            <w:tcW w:type="dxa" w:w="1944"/>
            <w:shd w:fill="F3F5F7"/>
            <w:vAlign w:val="center"/>
            <w:tcMar>
              <w:top w:w="105" w:type="dxa"/>
              <w:start w:w="110" w:type="dxa"/>
              <w:bottom w:w="105" w:type="dxa"/>
              <w:end w:w="110" w:type="dxa"/>
            </w:tcMar>
          </w:tcPr>
          <w:p>
            <w:pPr>
              <w:spacing w:after="0" w:line="240" w:lineRule="auto"/>
              <w:jc w:val="left"/>
            </w:pPr>
            <w:r>
              <w:rPr>
                <w:rFonts w:ascii="Arial" w:hAnsi="Arial"/>
                <w:sz w:val="17"/>
              </w:rPr>
              <w:t>Stock Projection</w:t>
            </w:r>
          </w:p>
        </w:tc>
        <w:tc>
          <w:tcPr>
            <w:tcW w:type="dxa" w:w="3096"/>
            <w:shd w:fill="F3F5F7"/>
            <w:vAlign w:val="center"/>
            <w:tcMar>
              <w:top w:w="105" w:type="dxa"/>
              <w:start w:w="110" w:type="dxa"/>
              <w:bottom w:w="105" w:type="dxa"/>
              <w:end w:w="110" w:type="dxa"/>
            </w:tcMar>
          </w:tcPr>
          <w:p>
            <w:pPr>
              <w:spacing w:after="0" w:line="240" w:lineRule="auto"/>
              <w:jc w:val="left"/>
            </w:pPr>
            <w:r>
              <w:rPr>
                <w:rFonts w:ascii="Arial" w:hAnsi="Arial"/>
                <w:sz w:val="17"/>
              </w:rPr>
              <w:t>Current SQL projection</w:t>
            </w:r>
          </w:p>
        </w:tc>
        <w:tc>
          <w:tcPr>
            <w:tcW w:type="dxa" w:w="2736"/>
            <w:shd w:fill="F3F5F7"/>
            <w:vAlign w:val="center"/>
            <w:tcMar>
              <w:top w:w="105" w:type="dxa"/>
              <w:start w:w="110" w:type="dxa"/>
              <w:bottom w:w="105" w:type="dxa"/>
              <w:end w:w="110" w:type="dxa"/>
            </w:tcMar>
          </w:tcPr>
          <w:p>
            <w:pPr>
              <w:spacing w:after="0" w:line="240" w:lineRule="auto"/>
              <w:jc w:val="left"/>
            </w:pPr>
            <w:r>
              <w:rPr>
                <w:rFonts w:ascii="Arial" w:hAnsi="Arial"/>
                <w:sz w:val="17"/>
              </w:rPr>
              <w:t>Weeks available in DimWeek</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7"/>
              </w:rPr>
              <w:t>Factory product week</w:t>
            </w:r>
          </w:p>
        </w:tc>
      </w:tr>
    </w:tbl>
    <w:p>
      <w:pPr>
        <w:spacing w:after="20"/>
      </w:pPr>
    </w:p>
    <w:p>
      <w:pPr>
        <w:pStyle w:val="Heading2"/>
      </w:pPr>
      <w:r>
        <w:t>2 1 Data flow</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360"/>
        <w:gridCol w:w="3360"/>
        <w:gridCol w:w="3360"/>
      </w:tblGrid>
      <w:tr>
        <w:trPr>
          <w:tblHeader w:val="true"/>
        </w:trPr>
        <w:tc>
          <w:tcPr>
            <w:tcW w:type="dxa" w:w="1800"/>
            <w:shd w:fill="17365D"/>
            <w:vAlign w:val="center"/>
            <w:tcMar>
              <w:top w:w="100" w:type="dxa"/>
              <w:start w:w="100" w:type="dxa"/>
              <w:bottom w:w="100" w:type="dxa"/>
              <w:end w:w="100" w:type="dxa"/>
            </w:tcMar>
          </w:tcPr>
          <w:p>
            <w:pPr>
              <w:spacing w:after="0"/>
              <w:jc w:val="center"/>
            </w:pPr>
            <w:r>
              <w:rPr>
                <w:rFonts w:ascii="Arial" w:hAnsi="Arial"/>
                <w:b/>
                <w:color w:val="FFFFFF"/>
                <w:sz w:val="17"/>
              </w:rPr>
              <w:t>Layer</w:t>
            </w:r>
          </w:p>
        </w:tc>
        <w:tc>
          <w:tcPr>
            <w:tcW w:type="dxa" w:w="5400"/>
            <w:shd w:fill="17365D"/>
            <w:vAlign w:val="center"/>
            <w:tcMar>
              <w:top w:w="100" w:type="dxa"/>
              <w:start w:w="100" w:type="dxa"/>
              <w:bottom w:w="100" w:type="dxa"/>
              <w:end w:w="100" w:type="dxa"/>
            </w:tcMar>
          </w:tcPr>
          <w:p>
            <w:pPr>
              <w:spacing w:after="0"/>
              <w:jc w:val="center"/>
            </w:pPr>
            <w:r>
              <w:rPr>
                <w:rFonts w:ascii="Arial" w:hAnsi="Arial"/>
                <w:b/>
                <w:color w:val="FFFFFF"/>
                <w:sz w:val="17"/>
              </w:rPr>
              <w:t>Responsibility</w:t>
            </w:r>
          </w:p>
        </w:tc>
        <w:tc>
          <w:tcPr>
            <w:tcW w:type="dxa" w:w="2520"/>
            <w:shd w:fill="17365D"/>
            <w:vAlign w:val="center"/>
            <w:tcMar>
              <w:top w:w="100" w:type="dxa"/>
              <w:start w:w="100" w:type="dxa"/>
              <w:bottom w:w="100" w:type="dxa"/>
              <w:end w:w="100" w:type="dxa"/>
            </w:tcMar>
          </w:tcPr>
          <w:p>
            <w:pPr>
              <w:spacing w:after="0"/>
              <w:jc w:val="center"/>
            </w:pPr>
            <w:r>
              <w:rPr>
                <w:rFonts w:ascii="Arial" w:hAnsi="Arial"/>
                <w:b/>
                <w:color w:val="FFFFFF"/>
                <w:sz w:val="17"/>
              </w:rPr>
              <w:t>Output</w:t>
            </w:r>
          </w:p>
        </w:tc>
      </w:tr>
      <w:tr>
        <w:trPr>
          <w:cantSplit/>
        </w:trPr>
        <w:tc>
          <w:tcPr>
            <w:tcW w:type="dxa" w:w="1800"/>
            <w:vAlign w:val="center"/>
            <w:tcMar>
              <w:top w:w="105" w:type="dxa"/>
              <w:start w:w="110" w:type="dxa"/>
              <w:bottom w:w="105" w:type="dxa"/>
              <w:end w:w="110" w:type="dxa"/>
            </w:tcMar>
          </w:tcPr>
          <w:p>
            <w:pPr>
              <w:spacing w:after="0" w:line="240" w:lineRule="auto"/>
              <w:jc w:val="left"/>
            </w:pPr>
            <w:r>
              <w:rPr>
                <w:rFonts w:ascii="Arial" w:hAnsi="Arial"/>
                <w:sz w:val="17"/>
              </w:rPr>
              <w:t>Input files</w:t>
            </w:r>
          </w:p>
        </w:tc>
        <w:tc>
          <w:tcPr>
            <w:tcW w:type="dxa" w:w="5400"/>
            <w:vAlign w:val="center"/>
            <w:tcMar>
              <w:top w:w="105" w:type="dxa"/>
              <w:start w:w="110" w:type="dxa"/>
              <w:bottom w:w="105" w:type="dxa"/>
              <w:end w:w="110" w:type="dxa"/>
            </w:tcMar>
          </w:tcPr>
          <w:p>
            <w:pPr>
              <w:spacing w:after="0" w:line="240" w:lineRule="auto"/>
              <w:jc w:val="left"/>
            </w:pPr>
            <w:r>
              <w:rPr>
                <w:rFonts w:ascii="Arial" w:hAnsi="Arial"/>
                <w:sz w:val="17"/>
              </w:rPr>
              <w:t>Tactical and short term forecasts plus reference data.</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7"/>
              </w:rPr>
              <w:t>Source records</w:t>
            </w:r>
          </w:p>
        </w:tc>
      </w:tr>
      <w:tr>
        <w:trPr>
          <w:cantSplit/>
        </w:trPr>
        <w:tc>
          <w:tcPr>
            <w:tcW w:type="dxa" w:w="1800"/>
            <w:shd w:fill="F3F5F7"/>
            <w:vAlign w:val="center"/>
            <w:tcMar>
              <w:top w:w="105" w:type="dxa"/>
              <w:start w:w="110" w:type="dxa"/>
              <w:bottom w:w="105" w:type="dxa"/>
              <w:end w:w="110" w:type="dxa"/>
            </w:tcMar>
          </w:tcPr>
          <w:p>
            <w:pPr>
              <w:spacing w:after="0" w:line="240" w:lineRule="auto"/>
              <w:jc w:val="left"/>
            </w:pPr>
            <w:r>
              <w:rPr>
                <w:rFonts w:ascii="Arial" w:hAnsi="Arial"/>
                <w:sz w:val="17"/>
              </w:rPr>
              <w:t>Azure SQL</w:t>
            </w:r>
          </w:p>
        </w:tc>
        <w:tc>
          <w:tcPr>
            <w:tcW w:type="dxa" w:w="5400"/>
            <w:shd w:fill="F3F5F7"/>
            <w:vAlign w:val="center"/>
            <w:tcMar>
              <w:top w:w="105" w:type="dxa"/>
              <w:start w:w="110" w:type="dxa"/>
              <w:bottom w:w="105" w:type="dxa"/>
              <w:end w:w="110" w:type="dxa"/>
            </w:tcMar>
          </w:tcPr>
          <w:p>
            <w:pPr>
              <w:spacing w:after="0" w:line="240" w:lineRule="auto"/>
              <w:jc w:val="left"/>
            </w:pPr>
            <w:r>
              <w:rPr>
                <w:rFonts w:ascii="Arial" w:hAnsi="Arial"/>
                <w:sz w:val="17"/>
              </w:rPr>
              <w:t>Validation, clean layer, reconciliation, component demand, routes, allocation and stock calculation.</w:t>
            </w:r>
          </w:p>
        </w:tc>
        <w:tc>
          <w:tcPr>
            <w:tcW w:type="dxa" w:w="2520"/>
            <w:shd w:fill="F3F5F7"/>
            <w:vAlign w:val="center"/>
            <w:tcMar>
              <w:top w:w="105" w:type="dxa"/>
              <w:start w:w="110" w:type="dxa"/>
              <w:bottom w:w="105" w:type="dxa"/>
              <w:end w:w="110" w:type="dxa"/>
            </w:tcMar>
          </w:tcPr>
          <w:p>
            <w:pPr>
              <w:spacing w:after="0" w:line="240" w:lineRule="auto"/>
              <w:jc w:val="left"/>
            </w:pPr>
            <w:r>
              <w:rPr>
                <w:rFonts w:ascii="Arial" w:hAnsi="Arial"/>
                <w:sz w:val="17"/>
              </w:rPr>
              <w:t>Curated views and tables</w:t>
            </w:r>
          </w:p>
        </w:tc>
      </w:tr>
      <w:tr>
        <w:trPr>
          <w:cantSplit/>
        </w:trPr>
        <w:tc>
          <w:tcPr>
            <w:tcW w:type="dxa" w:w="1800"/>
            <w:vAlign w:val="center"/>
            <w:tcMar>
              <w:top w:w="105" w:type="dxa"/>
              <w:start w:w="110" w:type="dxa"/>
              <w:bottom w:w="105" w:type="dxa"/>
              <w:end w:w="110" w:type="dxa"/>
            </w:tcMar>
          </w:tcPr>
          <w:p>
            <w:pPr>
              <w:spacing w:after="0" w:line="240" w:lineRule="auto"/>
              <w:jc w:val="left"/>
            </w:pPr>
            <w:r>
              <w:rPr>
                <w:rFonts w:ascii="Arial" w:hAnsi="Arial"/>
                <w:sz w:val="17"/>
              </w:rPr>
              <w:t>Power BI model</w:t>
            </w:r>
          </w:p>
        </w:tc>
        <w:tc>
          <w:tcPr>
            <w:tcW w:type="dxa" w:w="5400"/>
            <w:vAlign w:val="center"/>
            <w:tcMar>
              <w:top w:w="105" w:type="dxa"/>
              <w:start w:w="110" w:type="dxa"/>
              <w:bottom w:w="105" w:type="dxa"/>
              <w:end w:w="110" w:type="dxa"/>
            </w:tcMar>
          </w:tcPr>
          <w:p>
            <w:pPr>
              <w:spacing w:after="0" w:line="240" w:lineRule="auto"/>
              <w:jc w:val="left"/>
            </w:pPr>
            <w:r>
              <w:rPr>
                <w:rFonts w:ascii="Arial" w:hAnsi="Arial"/>
                <w:sz w:val="17"/>
              </w:rPr>
              <w:t>Relationships, measures, field parameters and What If scenario.</w:t>
            </w:r>
          </w:p>
        </w:tc>
        <w:tc>
          <w:tcPr>
            <w:tcW w:type="dxa" w:w="2520"/>
            <w:vAlign w:val="center"/>
            <w:tcMar>
              <w:top w:w="105" w:type="dxa"/>
              <w:start w:w="110" w:type="dxa"/>
              <w:bottom w:w="105" w:type="dxa"/>
              <w:end w:w="110" w:type="dxa"/>
            </w:tcMar>
          </w:tcPr>
          <w:p>
            <w:pPr>
              <w:spacing w:after="0" w:line="240" w:lineRule="auto"/>
              <w:jc w:val="left"/>
            </w:pPr>
            <w:r>
              <w:rPr>
                <w:rFonts w:ascii="Arial" w:hAnsi="Arial"/>
                <w:sz w:val="17"/>
              </w:rPr>
              <w:t>Consistent analytical context</w:t>
            </w:r>
          </w:p>
        </w:tc>
      </w:tr>
      <w:tr>
        <w:trPr>
          <w:cantSplit/>
        </w:trPr>
        <w:tc>
          <w:tcPr>
            <w:tcW w:type="dxa" w:w="1800"/>
            <w:shd w:fill="F3F5F7"/>
            <w:vAlign w:val="center"/>
            <w:tcMar>
              <w:top w:w="105" w:type="dxa"/>
              <w:start w:w="110" w:type="dxa"/>
              <w:bottom w:w="105" w:type="dxa"/>
              <w:end w:w="110" w:type="dxa"/>
            </w:tcMar>
          </w:tcPr>
          <w:p>
            <w:pPr>
              <w:spacing w:after="0" w:line="240" w:lineRule="auto"/>
              <w:jc w:val="left"/>
            </w:pPr>
            <w:r>
              <w:rPr>
                <w:rFonts w:ascii="Arial" w:hAnsi="Arial"/>
                <w:sz w:val="17"/>
              </w:rPr>
              <w:t>Report layer</w:t>
            </w:r>
          </w:p>
        </w:tc>
        <w:tc>
          <w:tcPr>
            <w:tcW w:type="dxa" w:w="5400"/>
            <w:shd w:fill="F3F5F7"/>
            <w:vAlign w:val="center"/>
            <w:tcMar>
              <w:top w:w="105" w:type="dxa"/>
              <w:start w:w="110" w:type="dxa"/>
              <w:bottom w:w="105" w:type="dxa"/>
              <w:end w:w="110" w:type="dxa"/>
            </w:tcMar>
          </w:tcPr>
          <w:p>
            <w:pPr>
              <w:spacing w:after="0" w:line="240" w:lineRule="auto"/>
              <w:jc w:val="left"/>
            </w:pPr>
            <w:r>
              <w:rPr>
                <w:rFonts w:ascii="Arial" w:hAnsi="Arial"/>
                <w:sz w:val="17"/>
              </w:rPr>
              <w:t>Slicers, matrices and transport, cost and stock risk charts.</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7"/>
              </w:rPr>
              <w:t>Operational decisions</w:t>
            </w:r>
          </w:p>
        </w:tc>
      </w:tr>
    </w:tbl>
    <w:p>
      <w:pPr>
        <w:spacing w:after="20"/>
      </w:pPr>
    </w:p>
    <w:p>
      <w:pPr>
        <w:pStyle w:val="Heading1"/>
      </w:pPr>
      <w:r>
        <w:t>3 Semantic model</w:t>
      </w:r>
    </w:p>
    <w:p>
      <w:r>
        <w:rPr>
          <w:rFonts w:ascii="Arial" w:hAnsi="Arial"/>
        </w:rPr>
        <w:t>The model follows a star schema. Dimensions filter fact tables through active one to many relationships with single direction filtering. Pickup and delivery nodes are separate role dimensions so that a network node can appear in either role without ambiguous filter paths.</w:t>
      </w:r>
    </w:p>
    <w:p>
      <w:pPr>
        <w:pStyle w:val="Heading2"/>
      </w:pPr>
      <w:r>
        <w:t>3 1 Fact tables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3240"/>
            <w:shd w:fill="17365D"/>
            <w:vAlign w:val="center"/>
            <w:tcMar>
              <w:top w:w="100" w:type="dxa"/>
              <w:start w:w="100" w:type="dxa"/>
              <w:bottom w:w="100" w:type="dxa"/>
              <w:end w:w="100" w:type="dxa"/>
            </w:tcMar>
          </w:tcPr>
          <w:p>
            <w:pPr>
              <w:spacing w:after="0"/>
              <w:jc w:val="center"/>
            </w:pPr>
            <w:r>
              <w:rPr>
                <w:rFonts w:ascii="Arial" w:hAnsi="Arial"/>
                <w:b/>
                <w:color w:val="FFFFFF"/>
                <w:sz w:val="17"/>
              </w:rPr>
              <w:t>Table</w:t>
            </w:r>
          </w:p>
        </w:tc>
        <w:tc>
          <w:tcPr>
            <w:tcW w:type="dxa" w:w="6480"/>
            <w:shd w:fill="17365D"/>
            <w:vAlign w:val="center"/>
            <w:tcMar>
              <w:top w:w="100" w:type="dxa"/>
              <w:start w:w="100" w:type="dxa"/>
              <w:bottom w:w="100" w:type="dxa"/>
              <w:end w:w="100" w:type="dxa"/>
            </w:tcMar>
          </w:tcPr>
          <w:p>
            <w:pPr>
              <w:spacing w:after="0"/>
              <w:jc w:val="center"/>
            </w:pPr>
            <w:r>
              <w:rPr>
                <w:rFonts w:ascii="Arial" w:hAnsi="Arial"/>
                <w:b/>
                <w:color w:val="FFFFFF"/>
                <w:sz w:val="17"/>
              </w:rPr>
              <w:t>Grain and purpose</w:t>
            </w:r>
          </w:p>
        </w:tc>
      </w:tr>
      <w:tr>
        <w:trPr>
          <w:cantSplit/>
        </w:trPr>
        <w:tc>
          <w:tcPr>
            <w:tcW w:type="dxa" w:w="3240"/>
            <w:vAlign w:val="center"/>
            <w:tcMar>
              <w:top w:w="105" w:type="dxa"/>
              <w:start w:w="110" w:type="dxa"/>
              <w:bottom w:w="105" w:type="dxa"/>
              <w:end w:w="110" w:type="dxa"/>
            </w:tcMar>
          </w:tcPr>
          <w:p>
            <w:pPr>
              <w:spacing w:after="0" w:line="240" w:lineRule="auto"/>
              <w:jc w:val="left"/>
            </w:pPr>
            <w:r>
              <w:rPr>
                <w:rFonts w:ascii="Arial" w:hAnsi="Arial"/>
                <w:sz w:val="17"/>
              </w:rPr>
              <w:t>FactTacticalCurrentPrevious</w:t>
            </w:r>
          </w:p>
        </w:tc>
        <w:tc>
          <w:tcPr>
            <w:tcW w:type="dxa" w:w="6480"/>
            <w:vAlign w:val="center"/>
            <w:tcMar>
              <w:top w:w="105" w:type="dxa"/>
              <w:start w:w="110" w:type="dxa"/>
              <w:bottom w:w="105" w:type="dxa"/>
              <w:end w:w="110" w:type="dxa"/>
            </w:tcMar>
          </w:tcPr>
          <w:p>
            <w:pPr>
              <w:spacing w:after="0" w:line="240" w:lineRule="auto"/>
              <w:jc w:val="left"/>
            </w:pPr>
            <w:r>
              <w:rPr>
                <w:rFonts w:ascii="Arial" w:hAnsi="Arial"/>
                <w:sz w:val="17"/>
              </w:rPr>
              <w:t>Carrier plan by snapshot, pickup week, physical leg and carrier. Supports the current plan and current versus previous comparison.</w:t>
            </w:r>
          </w:p>
        </w:tc>
      </w:tr>
      <w:tr>
        <w:trPr>
          <w:cantSplit/>
        </w:trPr>
        <w:tc>
          <w:tcPr>
            <w:tcW w:type="dxa" w:w="3240"/>
            <w:shd w:fill="F3F5F7"/>
            <w:vAlign w:val="center"/>
            <w:tcMar>
              <w:top w:w="105" w:type="dxa"/>
              <w:start w:w="110" w:type="dxa"/>
              <w:bottom w:w="105" w:type="dxa"/>
              <w:end w:w="110" w:type="dxa"/>
            </w:tcMar>
          </w:tcPr>
          <w:p>
            <w:pPr>
              <w:spacing w:after="0" w:line="240" w:lineRule="auto"/>
              <w:jc w:val="left"/>
            </w:pPr>
            <w:r>
              <w:rPr>
                <w:rFonts w:ascii="Arial" w:hAnsi="Arial"/>
                <w:sz w:val="17"/>
              </w:rPr>
              <w:t>FactTacticalArrivals</w:t>
            </w:r>
          </w:p>
        </w:tc>
        <w:tc>
          <w:tcPr>
            <w:tcW w:type="dxa" w:w="6480"/>
            <w:shd w:fill="F3F5F7"/>
            <w:vAlign w:val="center"/>
            <w:tcMar>
              <w:top w:w="105" w:type="dxa"/>
              <w:start w:w="110" w:type="dxa"/>
              <w:bottom w:w="105" w:type="dxa"/>
              <w:end w:w="110" w:type="dxa"/>
            </w:tcMar>
          </w:tcPr>
          <w:p>
            <w:pPr>
              <w:spacing w:after="0" w:line="240" w:lineRule="auto"/>
              <w:jc w:val="left"/>
            </w:pPr>
            <w:r>
              <w:rPr>
                <w:rFonts w:ascii="Arial" w:hAnsi="Arial"/>
                <w:sz w:val="17"/>
              </w:rPr>
              <w:t>Tactical volume assigned to arrival week. Supports the inbound view by delivery location.</w:t>
            </w:r>
          </w:p>
        </w:tc>
      </w:tr>
      <w:tr>
        <w:trPr>
          <w:cantSplit/>
        </w:trPr>
        <w:tc>
          <w:tcPr>
            <w:tcW w:type="dxa" w:w="3240"/>
            <w:vAlign w:val="center"/>
            <w:tcMar>
              <w:top w:w="105" w:type="dxa"/>
              <w:start w:w="110" w:type="dxa"/>
              <w:bottom w:w="105" w:type="dxa"/>
              <w:end w:w="110" w:type="dxa"/>
            </w:tcMar>
          </w:tcPr>
          <w:p>
            <w:pPr>
              <w:spacing w:after="0" w:line="240" w:lineRule="auto"/>
              <w:jc w:val="left"/>
            </w:pPr>
            <w:r>
              <w:rPr>
                <w:rFonts w:ascii="Arial" w:hAnsi="Arial"/>
                <w:sz w:val="17"/>
              </w:rPr>
              <w:t>FactShortTerm</w:t>
            </w:r>
          </w:p>
        </w:tc>
        <w:tc>
          <w:tcPr>
            <w:tcW w:type="dxa" w:w="6480"/>
            <w:vAlign w:val="center"/>
            <w:tcMar>
              <w:top w:w="105" w:type="dxa"/>
              <w:start w:w="110" w:type="dxa"/>
              <w:bottom w:w="105" w:type="dxa"/>
              <w:end w:w="110" w:type="dxa"/>
            </w:tcMar>
          </w:tcPr>
          <w:p>
            <w:pPr>
              <w:spacing w:after="0" w:line="240" w:lineRule="auto"/>
              <w:jc w:val="left"/>
            </w:pPr>
            <w:r>
              <w:rPr>
                <w:rFonts w:ascii="Arial" w:hAnsi="Arial"/>
                <w:sz w:val="17"/>
              </w:rPr>
              <w:t>Daily 14 day pickup plan by physical leg, carrier and pickup date.</w:t>
            </w:r>
          </w:p>
        </w:tc>
      </w:tr>
      <w:tr>
        <w:trPr>
          <w:cantSplit/>
        </w:trPr>
        <w:tc>
          <w:tcPr>
            <w:tcW w:type="dxa" w:w="3240"/>
            <w:shd w:fill="F3F5F7"/>
            <w:vAlign w:val="center"/>
            <w:tcMar>
              <w:top w:w="105" w:type="dxa"/>
              <w:start w:w="110" w:type="dxa"/>
              <w:bottom w:w="105" w:type="dxa"/>
              <w:end w:w="110" w:type="dxa"/>
            </w:tcMar>
          </w:tcPr>
          <w:p>
            <w:pPr>
              <w:spacing w:after="0" w:line="240" w:lineRule="auto"/>
              <w:jc w:val="left"/>
            </w:pPr>
            <w:r>
              <w:rPr>
                <w:rFonts w:ascii="Arial" w:hAnsi="Arial"/>
                <w:sz w:val="17"/>
              </w:rPr>
              <w:t>FactStockProjection</w:t>
            </w:r>
          </w:p>
        </w:tc>
        <w:tc>
          <w:tcPr>
            <w:tcW w:type="dxa" w:w="6480"/>
            <w:shd w:fill="F3F5F7"/>
            <w:vAlign w:val="center"/>
            <w:tcMar>
              <w:top w:w="105" w:type="dxa"/>
              <w:start w:w="110" w:type="dxa"/>
              <w:bottom w:w="105" w:type="dxa"/>
              <w:end w:w="110" w:type="dxa"/>
            </w:tcMar>
          </w:tcPr>
          <w:p>
            <w:pPr>
              <w:spacing w:after="0" w:line="240" w:lineRule="auto"/>
              <w:jc w:val="left"/>
            </w:pPr>
            <w:r>
              <w:rPr>
                <w:rFonts w:ascii="Arial" w:hAnsi="Arial"/>
                <w:sz w:val="17"/>
              </w:rPr>
              <w:t>Weekly stock projection by factory and product.</w:t>
            </w:r>
          </w:p>
        </w:tc>
      </w:tr>
      <w:tr>
        <w:trPr>
          <w:cantSplit/>
        </w:trPr>
        <w:tc>
          <w:tcPr>
            <w:tcW w:type="dxa" w:w="3240"/>
            <w:vAlign w:val="center"/>
            <w:tcMar>
              <w:top w:w="105" w:type="dxa"/>
              <w:start w:w="110" w:type="dxa"/>
              <w:bottom w:w="105" w:type="dxa"/>
              <w:end w:w="110" w:type="dxa"/>
            </w:tcMar>
          </w:tcPr>
          <w:p>
            <w:pPr>
              <w:spacing w:after="0" w:line="240" w:lineRule="auto"/>
              <w:jc w:val="left"/>
            </w:pPr>
            <w:r>
              <w:rPr>
                <w:rFonts w:ascii="Arial" w:hAnsi="Arial"/>
                <w:sz w:val="17"/>
              </w:rPr>
              <w:t>FactWeeklyProduction</w:t>
            </w:r>
          </w:p>
        </w:tc>
        <w:tc>
          <w:tcPr>
            <w:tcW w:type="dxa" w:w="6480"/>
            <w:vAlign w:val="center"/>
            <w:tcMar>
              <w:top w:w="105" w:type="dxa"/>
              <w:start w:w="110" w:type="dxa"/>
              <w:bottom w:w="105" w:type="dxa"/>
              <w:end w:w="110" w:type="dxa"/>
            </w:tcMar>
          </w:tcPr>
          <w:p>
            <w:pPr>
              <w:spacing w:after="0" w:line="240" w:lineRule="auto"/>
              <w:jc w:val="left"/>
            </w:pPr>
            <w:r>
              <w:rPr>
                <w:rFonts w:ascii="Arial" w:hAnsi="Arial"/>
                <w:sz w:val="17"/>
              </w:rPr>
              <w:t>Weekly production plan used by the stock area and data controls.</w:t>
            </w:r>
          </w:p>
        </w:tc>
      </w:tr>
    </w:tbl>
    <w:p>
      <w:pPr>
        <w:spacing w:after="20"/>
      </w:pPr>
    </w:p>
    <w:p>
      <w:pPr>
        <w:pStyle w:val="Heading2"/>
      </w:pPr>
      <w:r>
        <w:t>3 2 Main dimensions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2880"/>
            <w:shd w:fill="17365D"/>
            <w:vAlign w:val="center"/>
            <w:tcMar>
              <w:top w:w="100" w:type="dxa"/>
              <w:start w:w="100" w:type="dxa"/>
              <w:bottom w:w="100" w:type="dxa"/>
              <w:end w:w="100" w:type="dxa"/>
            </w:tcMar>
          </w:tcPr>
          <w:p>
            <w:pPr>
              <w:spacing w:after="0"/>
              <w:jc w:val="center"/>
            </w:pPr>
            <w:r>
              <w:rPr>
                <w:rFonts w:ascii="Arial" w:hAnsi="Arial"/>
                <w:b/>
                <w:color w:val="FFFFFF"/>
                <w:sz w:val="17"/>
              </w:rPr>
              <w:t>Dimension</w:t>
            </w:r>
          </w:p>
        </w:tc>
        <w:tc>
          <w:tcPr>
            <w:tcW w:type="dxa" w:w="6840"/>
            <w:shd w:fill="17365D"/>
            <w:vAlign w:val="center"/>
            <w:tcMar>
              <w:top w:w="100" w:type="dxa"/>
              <w:start w:w="100" w:type="dxa"/>
              <w:bottom w:w="100" w:type="dxa"/>
              <w:end w:w="100" w:type="dxa"/>
            </w:tcMar>
          </w:tcPr>
          <w:p>
            <w:pPr>
              <w:spacing w:after="0"/>
              <w:jc w:val="center"/>
            </w:pPr>
            <w:r>
              <w:rPr>
                <w:rFonts w:ascii="Arial" w:hAnsi="Arial"/>
                <w:b/>
                <w:color w:val="FFFFFF"/>
                <w:sz w:val="17"/>
              </w:rPr>
              <w:t>Purpose</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DimWeek</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Common weekly axis for tactical, arrivals and stock projection.</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DimDate</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Daily time axis for short term.</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DimPhysicalLeg</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Physical route leg, origin, destination, distance, transit time and transport mode.</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DimPickupNode</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Pickup point filtered through pickup node id.</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DimDeliveryNode</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Delivery point filtered through delivery node id.</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DimCarrier</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Carrier and carrier code.</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DimTacticalSnapshot</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CURRENT or PREVIOUS role and publication identifier.</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DimFactories and DimProduct</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Factory and product used by stock analysis and demand scenarios.</w:t>
            </w:r>
          </w:p>
        </w:tc>
      </w:tr>
    </w:tbl>
    <w:p>
      <w:pPr>
        <w:spacing w:after="20"/>
      </w:pPr>
    </w:p>
    <w:p>
      <w:pPr>
        <w:pStyle w:val="Heading2"/>
      </w:pPr>
      <w:r>
        <w:t>3 3 Key relationships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520"/>
        <w:gridCol w:w="2520"/>
        <w:gridCol w:w="2520"/>
        <w:gridCol w:w="2520"/>
      </w:tblGrid>
      <w:tr>
        <w:trPr>
          <w:tblHeader w:val="true"/>
        </w:trPr>
        <w:tc>
          <w:tcPr>
            <w:tcW w:type="dxa" w:w="2160"/>
            <w:shd w:fill="17365D"/>
            <w:vAlign w:val="center"/>
            <w:tcMar>
              <w:top w:w="100" w:type="dxa"/>
              <w:start w:w="100" w:type="dxa"/>
              <w:bottom w:w="100" w:type="dxa"/>
              <w:end w:w="100" w:type="dxa"/>
            </w:tcMar>
          </w:tcPr>
          <w:p>
            <w:pPr>
              <w:spacing w:after="0"/>
              <w:jc w:val="center"/>
            </w:pPr>
            <w:r>
              <w:rPr>
                <w:rFonts w:ascii="Arial" w:hAnsi="Arial"/>
                <w:b/>
                <w:color w:val="FFFFFF"/>
                <w:sz w:val="15"/>
              </w:rPr>
              <w:t>Dimension</w:t>
            </w:r>
          </w:p>
        </w:tc>
        <w:tc>
          <w:tcPr>
            <w:tcW w:type="dxa" w:w="3096"/>
            <w:shd w:fill="17365D"/>
            <w:vAlign w:val="center"/>
            <w:tcMar>
              <w:top w:w="100" w:type="dxa"/>
              <w:start w:w="100" w:type="dxa"/>
              <w:bottom w:w="100" w:type="dxa"/>
              <w:end w:w="100" w:type="dxa"/>
            </w:tcMar>
          </w:tcPr>
          <w:p>
            <w:pPr>
              <w:spacing w:after="0"/>
              <w:jc w:val="center"/>
            </w:pPr>
            <w:r>
              <w:rPr>
                <w:rFonts w:ascii="Arial" w:hAnsi="Arial"/>
                <w:b/>
                <w:color w:val="FFFFFF"/>
                <w:sz w:val="15"/>
              </w:rPr>
              <w:t>Fact table</w:t>
            </w:r>
          </w:p>
        </w:tc>
        <w:tc>
          <w:tcPr>
            <w:tcW w:type="dxa" w:w="2520"/>
            <w:shd w:fill="17365D"/>
            <w:vAlign w:val="center"/>
            <w:tcMar>
              <w:top w:w="100" w:type="dxa"/>
              <w:start w:w="100" w:type="dxa"/>
              <w:bottom w:w="100" w:type="dxa"/>
              <w:end w:w="100" w:type="dxa"/>
            </w:tcMar>
          </w:tcPr>
          <w:p>
            <w:pPr>
              <w:spacing w:after="0"/>
              <w:jc w:val="center"/>
            </w:pPr>
            <w:r>
              <w:rPr>
                <w:rFonts w:ascii="Arial" w:hAnsi="Arial"/>
                <w:b/>
                <w:color w:val="FFFFFF"/>
                <w:sz w:val="15"/>
              </w:rPr>
              <w:t>Fact key</w:t>
            </w:r>
          </w:p>
        </w:tc>
        <w:tc>
          <w:tcPr>
            <w:tcW w:type="dxa" w:w="1944"/>
            <w:shd w:fill="17365D"/>
            <w:vAlign w:val="center"/>
            <w:tcMar>
              <w:top w:w="100" w:type="dxa"/>
              <w:start w:w="100" w:type="dxa"/>
              <w:bottom w:w="100" w:type="dxa"/>
              <w:end w:w="100" w:type="dxa"/>
            </w:tcMar>
          </w:tcPr>
          <w:p>
            <w:pPr>
              <w:spacing w:after="0"/>
              <w:jc w:val="center"/>
            </w:pPr>
            <w:r>
              <w:rPr>
                <w:rFonts w:ascii="Arial" w:hAnsi="Arial"/>
                <w:b/>
                <w:color w:val="FFFFFF"/>
                <w:sz w:val="15"/>
              </w:rPr>
              <w:t>Status</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DimPhysicalLeg</w:t>
            </w:r>
          </w:p>
        </w:tc>
        <w:tc>
          <w:tcPr>
            <w:tcW w:type="dxa" w:w="3096"/>
            <w:vAlign w:val="center"/>
            <w:tcMar>
              <w:top w:w="105" w:type="dxa"/>
              <w:start w:w="110" w:type="dxa"/>
              <w:bottom w:w="105" w:type="dxa"/>
              <w:end w:w="110" w:type="dxa"/>
            </w:tcMar>
          </w:tcPr>
          <w:p>
            <w:pPr>
              <w:spacing w:after="0" w:line="240" w:lineRule="auto"/>
              <w:jc w:val="left"/>
            </w:pPr>
            <w:r>
              <w:rPr>
                <w:rFonts w:ascii="Arial" w:hAnsi="Arial"/>
                <w:sz w:val="15"/>
              </w:rPr>
              <w:t>FactTacticalCurrentPrevious</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physical_leg_id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DimPickupNode</w:t>
            </w:r>
          </w:p>
        </w:tc>
        <w:tc>
          <w:tcPr>
            <w:tcW w:type="dxa" w:w="3096"/>
            <w:shd w:fill="F3F5F7"/>
            <w:vAlign w:val="center"/>
            <w:tcMar>
              <w:top w:w="105" w:type="dxa"/>
              <w:start w:w="110" w:type="dxa"/>
              <w:bottom w:w="105" w:type="dxa"/>
              <w:end w:w="110" w:type="dxa"/>
            </w:tcMar>
          </w:tcPr>
          <w:p>
            <w:pPr>
              <w:spacing w:after="0" w:line="240" w:lineRule="auto"/>
              <w:jc w:val="left"/>
            </w:pPr>
            <w:r>
              <w:rPr>
                <w:rFonts w:ascii="Arial" w:hAnsi="Arial"/>
                <w:sz w:val="15"/>
              </w:rPr>
              <w:t>FactTacticalCurrentPrevious</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pickup_node_id</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DimDeliveryNode</w:t>
            </w:r>
          </w:p>
        </w:tc>
        <w:tc>
          <w:tcPr>
            <w:tcW w:type="dxa" w:w="3096"/>
            <w:vAlign w:val="center"/>
            <w:tcMar>
              <w:top w:w="105" w:type="dxa"/>
              <w:start w:w="110" w:type="dxa"/>
              <w:bottom w:w="105" w:type="dxa"/>
              <w:end w:w="110" w:type="dxa"/>
            </w:tcMar>
          </w:tcPr>
          <w:p>
            <w:pPr>
              <w:spacing w:after="0" w:line="240" w:lineRule="auto"/>
              <w:jc w:val="left"/>
            </w:pPr>
            <w:r>
              <w:rPr>
                <w:rFonts w:ascii="Arial" w:hAnsi="Arial"/>
                <w:sz w:val="15"/>
              </w:rPr>
              <w:t>FactTacticalCurrentPrevious</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delivery_node_id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DimWeek</w:t>
            </w:r>
          </w:p>
        </w:tc>
        <w:tc>
          <w:tcPr>
            <w:tcW w:type="dxa" w:w="3096"/>
            <w:shd w:fill="F3F5F7"/>
            <w:vAlign w:val="center"/>
            <w:tcMar>
              <w:top w:w="105" w:type="dxa"/>
              <w:start w:w="110" w:type="dxa"/>
              <w:bottom w:w="105" w:type="dxa"/>
              <w:end w:w="110" w:type="dxa"/>
            </w:tcMar>
          </w:tcPr>
          <w:p>
            <w:pPr>
              <w:spacing w:after="0" w:line="240" w:lineRule="auto"/>
              <w:jc w:val="left"/>
            </w:pPr>
            <w:r>
              <w:rPr>
                <w:rFonts w:ascii="Arial" w:hAnsi="Arial"/>
                <w:sz w:val="15"/>
              </w:rPr>
              <w:t>FactTacticalCurrentPrevious</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pickup_week_start</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DimPhysicalLeg</w:t>
            </w:r>
          </w:p>
        </w:tc>
        <w:tc>
          <w:tcPr>
            <w:tcW w:type="dxa" w:w="3096"/>
            <w:vAlign w:val="center"/>
            <w:tcMar>
              <w:top w:w="105" w:type="dxa"/>
              <w:start w:w="110" w:type="dxa"/>
              <w:bottom w:w="105" w:type="dxa"/>
              <w:end w:w="110" w:type="dxa"/>
            </w:tcMar>
          </w:tcPr>
          <w:p>
            <w:pPr>
              <w:spacing w:after="0" w:line="240" w:lineRule="auto"/>
              <w:jc w:val="center"/>
            </w:pPr>
            <w:r>
              <w:rPr>
                <w:rFonts w:ascii="Arial" w:hAnsi="Arial"/>
                <w:sz w:val="15"/>
              </w:rPr>
              <w:t>FactTacticalArrivals</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physical_leg_id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DimPickupNode</w:t>
            </w:r>
          </w:p>
        </w:tc>
        <w:tc>
          <w:tcPr>
            <w:tcW w:type="dxa" w:w="3096"/>
            <w:shd w:fill="F3F5F7"/>
            <w:vAlign w:val="center"/>
            <w:tcMar>
              <w:top w:w="105" w:type="dxa"/>
              <w:start w:w="110" w:type="dxa"/>
              <w:bottom w:w="105" w:type="dxa"/>
              <w:end w:w="110" w:type="dxa"/>
            </w:tcMar>
          </w:tcPr>
          <w:p>
            <w:pPr>
              <w:spacing w:after="0" w:line="240" w:lineRule="auto"/>
              <w:jc w:val="center"/>
            </w:pPr>
            <w:r>
              <w:rPr>
                <w:rFonts w:ascii="Arial" w:hAnsi="Arial"/>
                <w:sz w:val="15"/>
              </w:rPr>
              <w:t>FactTacticalArrivals</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pickup_node_id</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DimDeliveryNode</w:t>
            </w:r>
          </w:p>
        </w:tc>
        <w:tc>
          <w:tcPr>
            <w:tcW w:type="dxa" w:w="3096"/>
            <w:vAlign w:val="center"/>
            <w:tcMar>
              <w:top w:w="105" w:type="dxa"/>
              <w:start w:w="110" w:type="dxa"/>
              <w:bottom w:w="105" w:type="dxa"/>
              <w:end w:w="110" w:type="dxa"/>
            </w:tcMar>
          </w:tcPr>
          <w:p>
            <w:pPr>
              <w:spacing w:after="0" w:line="240" w:lineRule="auto"/>
              <w:jc w:val="center"/>
            </w:pPr>
            <w:r>
              <w:rPr>
                <w:rFonts w:ascii="Arial" w:hAnsi="Arial"/>
                <w:sz w:val="15"/>
              </w:rPr>
              <w:t>FactTacticalArrivals</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delivery_node_id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DimWeek</w:t>
            </w:r>
          </w:p>
        </w:tc>
        <w:tc>
          <w:tcPr>
            <w:tcW w:type="dxa" w:w="3096"/>
            <w:shd w:fill="F3F5F7"/>
            <w:vAlign w:val="center"/>
            <w:tcMar>
              <w:top w:w="105" w:type="dxa"/>
              <w:start w:w="110" w:type="dxa"/>
              <w:bottom w:w="105" w:type="dxa"/>
              <w:end w:w="110" w:type="dxa"/>
            </w:tcMar>
          </w:tcPr>
          <w:p>
            <w:pPr>
              <w:spacing w:after="0" w:line="240" w:lineRule="auto"/>
              <w:jc w:val="center"/>
            </w:pPr>
            <w:r>
              <w:rPr>
                <w:rFonts w:ascii="Arial" w:hAnsi="Arial"/>
                <w:sz w:val="15"/>
              </w:rPr>
              <w:t>FactTacticalArrivals</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arrival_week_start</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DimPhysicalLeg</w:t>
            </w:r>
          </w:p>
        </w:tc>
        <w:tc>
          <w:tcPr>
            <w:tcW w:type="dxa" w:w="3096"/>
            <w:vAlign w:val="center"/>
            <w:tcMar>
              <w:top w:w="105" w:type="dxa"/>
              <w:start w:w="110" w:type="dxa"/>
              <w:bottom w:w="105" w:type="dxa"/>
              <w:end w:w="110" w:type="dxa"/>
            </w:tcMar>
          </w:tcPr>
          <w:p>
            <w:pPr>
              <w:spacing w:after="0" w:line="240" w:lineRule="auto"/>
              <w:jc w:val="center"/>
            </w:pPr>
            <w:r>
              <w:rPr>
                <w:rFonts w:ascii="Arial" w:hAnsi="Arial"/>
                <w:sz w:val="15"/>
              </w:rPr>
              <w:t>FactShortTerm</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physical_leg_id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DimPickupNode</w:t>
            </w:r>
          </w:p>
        </w:tc>
        <w:tc>
          <w:tcPr>
            <w:tcW w:type="dxa" w:w="3096"/>
            <w:shd w:fill="F3F5F7"/>
            <w:vAlign w:val="center"/>
            <w:tcMar>
              <w:top w:w="105" w:type="dxa"/>
              <w:start w:w="110" w:type="dxa"/>
              <w:bottom w:w="105" w:type="dxa"/>
              <w:end w:w="110" w:type="dxa"/>
            </w:tcMar>
          </w:tcPr>
          <w:p>
            <w:pPr>
              <w:spacing w:after="0" w:line="240" w:lineRule="auto"/>
              <w:jc w:val="center"/>
            </w:pPr>
            <w:r>
              <w:rPr>
                <w:rFonts w:ascii="Arial" w:hAnsi="Arial"/>
                <w:sz w:val="15"/>
              </w:rPr>
              <w:t>FactShortTerm</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pickup_node_id</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DimDeliveryNode</w:t>
            </w:r>
          </w:p>
        </w:tc>
        <w:tc>
          <w:tcPr>
            <w:tcW w:type="dxa" w:w="3096"/>
            <w:vAlign w:val="center"/>
            <w:tcMar>
              <w:top w:w="105" w:type="dxa"/>
              <w:start w:w="110" w:type="dxa"/>
              <w:bottom w:w="105" w:type="dxa"/>
              <w:end w:w="110" w:type="dxa"/>
            </w:tcMar>
          </w:tcPr>
          <w:p>
            <w:pPr>
              <w:spacing w:after="0" w:line="240" w:lineRule="auto"/>
              <w:jc w:val="center"/>
            </w:pPr>
            <w:r>
              <w:rPr>
                <w:rFonts w:ascii="Arial" w:hAnsi="Arial"/>
                <w:sz w:val="15"/>
              </w:rPr>
              <w:t>FactShortTerm</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delivery_node_id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DimDate</w:t>
            </w:r>
          </w:p>
        </w:tc>
        <w:tc>
          <w:tcPr>
            <w:tcW w:type="dxa" w:w="3096"/>
            <w:shd w:fill="F3F5F7"/>
            <w:vAlign w:val="center"/>
            <w:tcMar>
              <w:top w:w="105" w:type="dxa"/>
              <w:start w:w="110" w:type="dxa"/>
              <w:bottom w:w="105" w:type="dxa"/>
              <w:end w:w="110" w:type="dxa"/>
            </w:tcMar>
          </w:tcPr>
          <w:p>
            <w:pPr>
              <w:spacing w:after="0" w:line="240" w:lineRule="auto"/>
              <w:jc w:val="center"/>
            </w:pPr>
            <w:r>
              <w:rPr>
                <w:rFonts w:ascii="Arial" w:hAnsi="Arial"/>
                <w:sz w:val="15"/>
              </w:rPr>
              <w:t>FactShortTerm</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pickup_date</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DimFactories</w:t>
            </w:r>
          </w:p>
        </w:tc>
        <w:tc>
          <w:tcPr>
            <w:tcW w:type="dxa" w:w="3096"/>
            <w:vAlign w:val="center"/>
            <w:tcMar>
              <w:top w:w="105" w:type="dxa"/>
              <w:start w:w="110" w:type="dxa"/>
              <w:bottom w:w="105" w:type="dxa"/>
              <w:end w:w="110" w:type="dxa"/>
            </w:tcMar>
          </w:tcPr>
          <w:p>
            <w:pPr>
              <w:spacing w:after="0" w:line="240" w:lineRule="auto"/>
              <w:jc w:val="center"/>
            </w:pPr>
            <w:r>
              <w:rPr>
                <w:rFonts w:ascii="Arial" w:hAnsi="Arial"/>
                <w:sz w:val="15"/>
              </w:rPr>
              <w:t>FactStockProjection</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factory_id</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shd w:fill="F3F5F7"/>
            <w:vAlign w:val="center"/>
            <w:tcMar>
              <w:top w:w="105" w:type="dxa"/>
              <w:start w:w="110" w:type="dxa"/>
              <w:bottom w:w="105" w:type="dxa"/>
              <w:end w:w="110" w:type="dxa"/>
            </w:tcMar>
          </w:tcPr>
          <w:p>
            <w:pPr>
              <w:spacing w:after="0" w:line="240" w:lineRule="auto"/>
              <w:jc w:val="left"/>
            </w:pPr>
            <w:r>
              <w:rPr>
                <w:rFonts w:ascii="Arial" w:hAnsi="Arial"/>
                <w:sz w:val="15"/>
              </w:rPr>
              <w:t>DimProduct</w:t>
            </w:r>
          </w:p>
        </w:tc>
        <w:tc>
          <w:tcPr>
            <w:tcW w:type="dxa" w:w="3096"/>
            <w:shd w:fill="F3F5F7"/>
            <w:vAlign w:val="center"/>
            <w:tcMar>
              <w:top w:w="105" w:type="dxa"/>
              <w:start w:w="110" w:type="dxa"/>
              <w:bottom w:w="105" w:type="dxa"/>
              <w:end w:w="110" w:type="dxa"/>
            </w:tcMar>
          </w:tcPr>
          <w:p>
            <w:pPr>
              <w:spacing w:after="0" w:line="240" w:lineRule="auto"/>
              <w:jc w:val="center"/>
            </w:pPr>
            <w:r>
              <w:rPr>
                <w:rFonts w:ascii="Arial" w:hAnsi="Arial"/>
                <w:sz w:val="15"/>
              </w:rPr>
              <w:t>FactStockProjection</w:t>
            </w:r>
          </w:p>
        </w:tc>
        <w:tc>
          <w:tcPr>
            <w:tcW w:type="dxa" w:w="2520"/>
            <w:shd w:fill="F3F5F7"/>
            <w:vAlign w:val="center"/>
            <w:tcMar>
              <w:top w:w="105" w:type="dxa"/>
              <w:start w:w="110" w:type="dxa"/>
              <w:bottom w:w="105" w:type="dxa"/>
              <w:end w:w="110" w:type="dxa"/>
            </w:tcMar>
          </w:tcPr>
          <w:p>
            <w:pPr>
              <w:spacing w:after="0" w:line="240" w:lineRule="auto"/>
              <w:jc w:val="center"/>
            </w:pPr>
            <w:r>
              <w:rPr>
                <w:rFonts w:ascii="Arial" w:hAnsi="Arial"/>
                <w:sz w:val="15"/>
              </w:rPr>
              <w:t>product_id</w:t>
            </w:r>
          </w:p>
        </w:tc>
        <w:tc>
          <w:tcPr>
            <w:tcW w:type="dxa" w:w="1944"/>
            <w:shd w:fill="F3F5F7"/>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r>
        <w:trPr>
          <w:cantSplit/>
        </w:trPr>
        <w:tc>
          <w:tcPr>
            <w:tcW w:type="dxa" w:w="2160"/>
            <w:vAlign w:val="center"/>
            <w:tcMar>
              <w:top w:w="105" w:type="dxa"/>
              <w:start w:w="110" w:type="dxa"/>
              <w:bottom w:w="105" w:type="dxa"/>
              <w:end w:w="110" w:type="dxa"/>
            </w:tcMar>
          </w:tcPr>
          <w:p>
            <w:pPr>
              <w:spacing w:after="0" w:line="240" w:lineRule="auto"/>
              <w:jc w:val="left"/>
            </w:pPr>
            <w:r>
              <w:rPr>
                <w:rFonts w:ascii="Arial" w:hAnsi="Arial"/>
                <w:sz w:val="15"/>
              </w:rPr>
              <w:t>DimWeek</w:t>
            </w:r>
          </w:p>
        </w:tc>
        <w:tc>
          <w:tcPr>
            <w:tcW w:type="dxa" w:w="3096"/>
            <w:vAlign w:val="center"/>
            <w:tcMar>
              <w:top w:w="105" w:type="dxa"/>
              <w:start w:w="110" w:type="dxa"/>
              <w:bottom w:w="105" w:type="dxa"/>
              <w:end w:w="110" w:type="dxa"/>
            </w:tcMar>
          </w:tcPr>
          <w:p>
            <w:pPr>
              <w:spacing w:after="0" w:line="240" w:lineRule="auto"/>
              <w:jc w:val="center"/>
            </w:pPr>
            <w:r>
              <w:rPr>
                <w:rFonts w:ascii="Arial" w:hAnsi="Arial"/>
                <w:sz w:val="15"/>
              </w:rPr>
              <w:t>FactStockProjection</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5"/>
              </w:rPr>
              <w:t>week_start</w:t>
            </w:r>
          </w:p>
        </w:tc>
        <w:tc>
          <w:tcPr>
            <w:tcW w:type="dxa" w:w="1944"/>
            <w:vAlign w:val="center"/>
            <w:tcMar>
              <w:top w:w="105" w:type="dxa"/>
              <w:start w:w="110" w:type="dxa"/>
              <w:bottom w:w="105" w:type="dxa"/>
              <w:end w:w="110" w:type="dxa"/>
            </w:tcMar>
          </w:tcPr>
          <w:p>
            <w:pPr>
              <w:spacing w:after="0" w:line="240" w:lineRule="auto"/>
              <w:jc w:val="center"/>
            </w:pPr>
            <w:r>
              <w:rPr>
                <w:rFonts w:ascii="Arial" w:hAnsi="Arial"/>
                <w:sz w:val="15"/>
              </w:rPr>
              <w:t>Active 1 to many</w:t>
            </w:r>
          </w:p>
        </w:tc>
      </w:tr>
    </w:tbl>
    <w:p>
      <w:pPr>
        <w:spacing w:after="20"/>
      </w:pPr>
    </w:p>
    <w:p>
      <w:pPr>
        <w:pStyle w:val="Heading1"/>
      </w:pPr>
      <w:r>
        <w:t>4 Report pages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360"/>
        <w:gridCol w:w="3360"/>
        <w:gridCol w:w="3360"/>
      </w:tblGrid>
      <w:tr>
        <w:trPr>
          <w:tblHeader w:val="true"/>
        </w:trPr>
        <w:tc>
          <w:tcPr>
            <w:tcW w:type="dxa" w:w="1944"/>
            <w:shd w:fill="17365D"/>
            <w:vAlign w:val="center"/>
            <w:tcMar>
              <w:top w:w="100" w:type="dxa"/>
              <w:start w:w="100" w:type="dxa"/>
              <w:bottom w:w="100" w:type="dxa"/>
              <w:end w:w="100" w:type="dxa"/>
            </w:tcMar>
          </w:tcPr>
          <w:p>
            <w:pPr>
              <w:spacing w:after="0"/>
              <w:jc w:val="center"/>
            </w:pPr>
            <w:r>
              <w:rPr>
                <w:rFonts w:ascii="Arial" w:hAnsi="Arial"/>
                <w:b/>
                <w:color w:val="FFFFFF"/>
                <w:sz w:val="17"/>
              </w:rPr>
              <w:t>Page</w:t>
            </w:r>
          </w:p>
        </w:tc>
        <w:tc>
          <w:tcPr>
            <w:tcW w:type="dxa" w:w="5256"/>
            <w:shd w:fill="17365D"/>
            <w:vAlign w:val="center"/>
            <w:tcMar>
              <w:top w:w="100" w:type="dxa"/>
              <w:start w:w="100" w:type="dxa"/>
              <w:bottom w:w="100" w:type="dxa"/>
              <w:end w:w="100" w:type="dxa"/>
            </w:tcMar>
          </w:tcPr>
          <w:p>
            <w:pPr>
              <w:spacing w:after="0"/>
              <w:jc w:val="center"/>
            </w:pPr>
            <w:r>
              <w:rPr>
                <w:rFonts w:ascii="Arial" w:hAnsi="Arial"/>
                <w:b/>
                <w:color w:val="FFFFFF"/>
                <w:sz w:val="17"/>
              </w:rPr>
              <w:t>Business question</w:t>
            </w:r>
          </w:p>
        </w:tc>
        <w:tc>
          <w:tcPr>
            <w:tcW w:type="dxa" w:w="2520"/>
            <w:shd w:fill="17365D"/>
            <w:vAlign w:val="center"/>
            <w:tcMar>
              <w:top w:w="100" w:type="dxa"/>
              <w:start w:w="100" w:type="dxa"/>
              <w:bottom w:w="100" w:type="dxa"/>
              <w:end w:w="100" w:type="dxa"/>
            </w:tcMar>
          </w:tcPr>
          <w:p>
            <w:pPr>
              <w:spacing w:after="0"/>
              <w:jc w:val="center"/>
            </w:pPr>
            <w:r>
              <w:rPr>
                <w:rFonts w:ascii="Arial" w:hAnsi="Arial"/>
                <w:b/>
                <w:color w:val="FFFFFF"/>
                <w:sz w:val="17"/>
              </w:rPr>
              <w:t>Primary perspective</w:t>
            </w:r>
          </w:p>
        </w:tc>
      </w:tr>
      <w:tr>
        <w:trPr>
          <w:cantSplit/>
        </w:trPr>
        <w:tc>
          <w:tcPr>
            <w:tcW w:type="dxa" w:w="1944"/>
            <w:vAlign w:val="center"/>
            <w:tcMar>
              <w:top w:w="105" w:type="dxa"/>
              <w:start w:w="110" w:type="dxa"/>
              <w:bottom w:w="105" w:type="dxa"/>
              <w:end w:w="110" w:type="dxa"/>
            </w:tcMar>
          </w:tcPr>
          <w:p>
            <w:pPr>
              <w:spacing w:after="0" w:line="240" w:lineRule="auto"/>
              <w:jc w:val="left"/>
            </w:pPr>
            <w:r>
              <w:rPr>
                <w:rFonts w:ascii="Arial" w:hAnsi="Arial"/>
                <w:sz w:val="17"/>
              </w:rPr>
              <w:t>Tactical</w:t>
            </w:r>
          </w:p>
        </w:tc>
        <w:tc>
          <w:tcPr>
            <w:tcW w:type="dxa" w:w="5256"/>
            <w:vAlign w:val="center"/>
            <w:tcMar>
              <w:top w:w="105" w:type="dxa"/>
              <w:start w:w="110" w:type="dxa"/>
              <w:bottom w:w="105" w:type="dxa"/>
              <w:end w:w="110" w:type="dxa"/>
            </w:tcMar>
          </w:tcPr>
          <w:p>
            <w:pPr>
              <w:spacing w:after="0" w:line="240" w:lineRule="auto"/>
              <w:jc w:val="left"/>
            </w:pPr>
            <w:r>
              <w:rPr>
                <w:rFonts w:ascii="Arial" w:hAnsi="Arial"/>
                <w:sz w:val="17"/>
              </w:rPr>
              <w:t>Where does the current plan exceed capacity and what volume is collected or delivered?</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7"/>
              </w:rPr>
              <w:t>Current 16 week plan</w:t>
            </w:r>
          </w:p>
        </w:tc>
      </w:tr>
      <w:tr>
        <w:trPr>
          <w:cantSplit/>
        </w:trPr>
        <w:tc>
          <w:tcPr>
            <w:tcW w:type="dxa" w:w="1944"/>
            <w:shd w:fill="F3F5F7"/>
            <w:vAlign w:val="center"/>
            <w:tcMar>
              <w:top w:w="105" w:type="dxa"/>
              <w:start w:w="110" w:type="dxa"/>
              <w:bottom w:w="105" w:type="dxa"/>
              <w:end w:w="110" w:type="dxa"/>
            </w:tcMar>
          </w:tcPr>
          <w:p>
            <w:pPr>
              <w:spacing w:after="0" w:line="240" w:lineRule="auto"/>
              <w:jc w:val="left"/>
            </w:pPr>
            <w:r>
              <w:rPr>
                <w:rFonts w:ascii="Arial" w:hAnsi="Arial"/>
                <w:sz w:val="17"/>
              </w:rPr>
              <w:t>Tactical Revision</w:t>
            </w:r>
          </w:p>
        </w:tc>
        <w:tc>
          <w:tcPr>
            <w:tcW w:type="dxa" w:w="5256"/>
            <w:shd w:fill="F3F5F7"/>
            <w:vAlign w:val="center"/>
            <w:tcMar>
              <w:top w:w="105" w:type="dxa"/>
              <w:start w:w="110" w:type="dxa"/>
              <w:bottom w:w="105" w:type="dxa"/>
              <w:end w:w="110" w:type="dxa"/>
            </w:tcMar>
          </w:tcPr>
          <w:p>
            <w:pPr>
              <w:spacing w:after="0" w:line="240" w:lineRule="auto"/>
              <w:jc w:val="left"/>
            </w:pPr>
            <w:r>
              <w:rPr>
                <w:rFonts w:ascii="Arial" w:hAnsi="Arial"/>
                <w:sz w:val="17"/>
              </w:rPr>
              <w:t>What changed from the previous tactical publication?</w:t>
            </w:r>
          </w:p>
        </w:tc>
        <w:tc>
          <w:tcPr>
            <w:tcW w:type="dxa" w:w="2520"/>
            <w:shd w:fill="F3F5F7"/>
            <w:vAlign w:val="center"/>
            <w:tcMar>
              <w:top w:w="105" w:type="dxa"/>
              <w:start w:w="110" w:type="dxa"/>
              <w:bottom w:w="105" w:type="dxa"/>
              <w:end w:w="110" w:type="dxa"/>
            </w:tcMar>
          </w:tcPr>
          <w:p>
            <w:pPr>
              <w:spacing w:after="0" w:line="240" w:lineRule="auto"/>
              <w:jc w:val="left"/>
            </w:pPr>
            <w:r>
              <w:rPr>
                <w:rFonts w:ascii="Arial" w:hAnsi="Arial"/>
                <w:sz w:val="17"/>
              </w:rPr>
              <w:t>Current versus previous</w:t>
            </w:r>
          </w:p>
        </w:tc>
      </w:tr>
      <w:tr>
        <w:trPr>
          <w:cantSplit/>
        </w:trPr>
        <w:tc>
          <w:tcPr>
            <w:tcW w:type="dxa" w:w="1944"/>
            <w:vAlign w:val="center"/>
            <w:tcMar>
              <w:top w:w="105" w:type="dxa"/>
              <w:start w:w="110" w:type="dxa"/>
              <w:bottom w:w="105" w:type="dxa"/>
              <w:end w:w="110" w:type="dxa"/>
            </w:tcMar>
          </w:tcPr>
          <w:p>
            <w:pPr>
              <w:spacing w:after="0" w:line="240" w:lineRule="auto"/>
              <w:jc w:val="left"/>
            </w:pPr>
            <w:r>
              <w:rPr>
                <w:rFonts w:ascii="Arial" w:hAnsi="Arial"/>
                <w:sz w:val="17"/>
              </w:rPr>
              <w:t>Short Term</w:t>
            </w:r>
          </w:p>
        </w:tc>
        <w:tc>
          <w:tcPr>
            <w:tcW w:type="dxa" w:w="5256"/>
            <w:vAlign w:val="center"/>
            <w:tcMar>
              <w:top w:w="105" w:type="dxa"/>
              <w:start w:w="110" w:type="dxa"/>
              <w:bottom w:w="105" w:type="dxa"/>
              <w:end w:w="110" w:type="dxa"/>
            </w:tcMar>
          </w:tcPr>
          <w:p>
            <w:pPr>
              <w:spacing w:after="0" w:line="240" w:lineRule="auto"/>
              <w:jc w:val="left"/>
            </w:pPr>
            <w:r>
              <w:rPr>
                <w:rFonts w:ascii="Arial" w:hAnsi="Arial"/>
                <w:sz w:val="17"/>
              </w:rPr>
              <w:t>What is the daily pickup plan and where is capacity missing over the next 14 days?</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7"/>
              </w:rPr>
              <w:t>Daily operations</w:t>
            </w:r>
          </w:p>
        </w:tc>
      </w:tr>
      <w:tr>
        <w:trPr>
          <w:cantSplit/>
        </w:trPr>
        <w:tc>
          <w:tcPr>
            <w:tcW w:type="dxa" w:w="1944"/>
            <w:shd w:fill="F3F5F7"/>
            <w:vAlign w:val="center"/>
            <w:tcMar>
              <w:top w:w="105" w:type="dxa"/>
              <w:start w:w="110" w:type="dxa"/>
              <w:bottom w:w="105" w:type="dxa"/>
              <w:end w:w="110" w:type="dxa"/>
            </w:tcMar>
          </w:tcPr>
          <w:p>
            <w:pPr>
              <w:spacing w:after="0" w:line="240" w:lineRule="auto"/>
              <w:jc w:val="left"/>
            </w:pPr>
            <w:r>
              <w:rPr>
                <w:rFonts w:ascii="Arial" w:hAnsi="Arial"/>
                <w:sz w:val="17"/>
              </w:rPr>
              <w:t>Transport Costs</w:t>
            </w:r>
          </w:p>
        </w:tc>
        <w:tc>
          <w:tcPr>
            <w:tcW w:type="dxa" w:w="5256"/>
            <w:shd w:fill="F3F5F7"/>
            <w:vAlign w:val="center"/>
            <w:tcMar>
              <w:top w:w="105" w:type="dxa"/>
              <w:start w:w="110" w:type="dxa"/>
              <w:bottom w:w="105" w:type="dxa"/>
              <w:end w:w="110" w:type="dxa"/>
            </w:tcMar>
          </w:tcPr>
          <w:p>
            <w:pPr>
              <w:spacing w:after="0" w:line="240" w:lineRule="auto"/>
              <w:jc w:val="left"/>
            </w:pPr>
            <w:r>
              <w:rPr>
                <w:rFonts w:ascii="Arial" w:hAnsi="Arial"/>
                <w:sz w:val="17"/>
              </w:rPr>
              <w:t>Which legs and carriers generate the highest total and unit cost?</w:t>
            </w:r>
          </w:p>
        </w:tc>
        <w:tc>
          <w:tcPr>
            <w:tcW w:type="dxa" w:w="2520"/>
            <w:shd w:fill="F3F5F7"/>
            <w:vAlign w:val="center"/>
            <w:tcMar>
              <w:top w:w="105" w:type="dxa"/>
              <w:start w:w="110" w:type="dxa"/>
              <w:bottom w:w="105" w:type="dxa"/>
              <w:end w:w="110" w:type="dxa"/>
            </w:tcMar>
          </w:tcPr>
          <w:p>
            <w:pPr>
              <w:spacing w:after="0" w:line="240" w:lineRule="auto"/>
              <w:jc w:val="left"/>
            </w:pPr>
            <w:r>
              <w:rPr>
                <w:rFonts w:ascii="Arial" w:hAnsi="Arial"/>
                <w:sz w:val="17"/>
              </w:rPr>
              <w:t>Tactical or short term</w:t>
            </w:r>
          </w:p>
        </w:tc>
      </w:tr>
      <w:tr>
        <w:trPr>
          <w:cantSplit/>
        </w:trPr>
        <w:tc>
          <w:tcPr>
            <w:tcW w:type="dxa" w:w="1944"/>
            <w:vAlign w:val="center"/>
            <w:tcMar>
              <w:top w:w="105" w:type="dxa"/>
              <w:start w:w="110" w:type="dxa"/>
              <w:bottom w:w="105" w:type="dxa"/>
              <w:end w:w="110" w:type="dxa"/>
            </w:tcMar>
          </w:tcPr>
          <w:p>
            <w:pPr>
              <w:spacing w:after="0" w:line="240" w:lineRule="auto"/>
              <w:jc w:val="left"/>
            </w:pPr>
            <w:r>
              <w:rPr>
                <w:rFonts w:ascii="Arial" w:hAnsi="Arial"/>
                <w:sz w:val="17"/>
              </w:rPr>
              <w:t>Stock Scenario</w:t>
            </w:r>
          </w:p>
        </w:tc>
        <w:tc>
          <w:tcPr>
            <w:tcW w:type="dxa" w:w="5256"/>
            <w:vAlign w:val="center"/>
            <w:tcMar>
              <w:top w:w="105" w:type="dxa"/>
              <w:start w:w="110" w:type="dxa"/>
              <w:bottom w:w="105" w:type="dxa"/>
              <w:end w:w="110" w:type="dxa"/>
            </w:tcMar>
          </w:tcPr>
          <w:p>
            <w:pPr>
              <w:spacing w:after="0" w:line="240" w:lineRule="auto"/>
              <w:jc w:val="left"/>
            </w:pPr>
            <w:r>
              <w:rPr>
                <w:rFonts w:ascii="Arial" w:hAnsi="Arial"/>
                <w:sz w:val="17"/>
              </w:rPr>
              <w:t>How does a selected demand increase affect stock for one product and factory?</w:t>
            </w:r>
          </w:p>
        </w:tc>
        <w:tc>
          <w:tcPr>
            <w:tcW w:type="dxa" w:w="2520"/>
            <w:vAlign w:val="center"/>
            <w:tcMar>
              <w:top w:w="105" w:type="dxa"/>
              <w:start w:w="110" w:type="dxa"/>
              <w:bottom w:w="105" w:type="dxa"/>
              <w:end w:w="110" w:type="dxa"/>
            </w:tcMar>
          </w:tcPr>
          <w:p>
            <w:pPr>
              <w:spacing w:after="0" w:line="240" w:lineRule="auto"/>
              <w:jc w:val="center"/>
            </w:pPr>
            <w:r>
              <w:rPr>
                <w:rFonts w:ascii="Arial" w:hAnsi="Arial"/>
                <w:sz w:val="17"/>
              </w:rPr>
              <w:t>What If scenario</w:t>
            </w:r>
          </w:p>
        </w:tc>
      </w:tr>
      <w:tr>
        <w:trPr>
          <w:cantSplit/>
        </w:trPr>
        <w:tc>
          <w:tcPr>
            <w:tcW w:type="dxa" w:w="1944"/>
            <w:shd w:fill="F3F5F7"/>
            <w:vAlign w:val="center"/>
            <w:tcMar>
              <w:top w:w="105" w:type="dxa"/>
              <w:start w:w="110" w:type="dxa"/>
              <w:bottom w:w="105" w:type="dxa"/>
              <w:end w:w="110" w:type="dxa"/>
            </w:tcMar>
          </w:tcPr>
          <w:p>
            <w:pPr>
              <w:spacing w:after="0" w:line="240" w:lineRule="auto"/>
              <w:jc w:val="left"/>
            </w:pPr>
            <w:r>
              <w:rPr>
                <w:rFonts w:ascii="Arial" w:hAnsi="Arial"/>
                <w:sz w:val="17"/>
              </w:rPr>
              <w:t>Stock Overview</w:t>
            </w:r>
          </w:p>
        </w:tc>
        <w:tc>
          <w:tcPr>
            <w:tcW w:type="dxa" w:w="5256"/>
            <w:shd w:fill="F3F5F7"/>
            <w:vAlign w:val="center"/>
            <w:tcMar>
              <w:top w:w="105" w:type="dxa"/>
              <w:start w:w="110" w:type="dxa"/>
              <w:bottom w:w="105" w:type="dxa"/>
              <w:end w:w="110" w:type="dxa"/>
            </w:tcMar>
          </w:tcPr>
          <w:p>
            <w:pPr>
              <w:spacing w:after="0" w:line="240" w:lineRule="auto"/>
              <w:jc w:val="left"/>
            </w:pPr>
            <w:r>
              <w:rPr>
                <w:rFonts w:ascii="Arial" w:hAnsi="Arial"/>
                <w:sz w:val="17"/>
              </w:rPr>
              <w:t>Which factories, products and weeks show a shortage?</w:t>
            </w:r>
          </w:p>
        </w:tc>
        <w:tc>
          <w:tcPr>
            <w:tcW w:type="dxa" w:w="2520"/>
            <w:shd w:fill="F3F5F7"/>
            <w:vAlign w:val="center"/>
            <w:tcMar>
              <w:top w:w="105" w:type="dxa"/>
              <w:start w:w="110" w:type="dxa"/>
              <w:bottom w:w="105" w:type="dxa"/>
              <w:end w:w="110" w:type="dxa"/>
            </w:tcMar>
          </w:tcPr>
          <w:p>
            <w:pPr>
              <w:spacing w:after="0" w:line="240" w:lineRule="auto"/>
              <w:jc w:val="left"/>
            </w:pPr>
            <w:r>
              <w:rPr>
                <w:rFonts w:ascii="Arial" w:hAnsi="Arial"/>
                <w:sz w:val="17"/>
              </w:rPr>
              <w:t>Baseline stock projection</w:t>
            </w:r>
          </w:p>
        </w:tc>
      </w:tr>
    </w:tbl>
    <w:p>
      <w:pPr>
        <w:spacing w:after="20"/>
      </w:pPr>
    </w:p>
    <w:p>
      <w:pPr>
        <w:pStyle w:val="Heading2"/>
      </w:pPr>
      <w:r>
        <w:t>4 1 Tactical</w:t>
      </w:r>
    </w:p>
    <w:p>
      <w:r>
        <w:rPr>
          <w:rFonts w:ascii="Arial" w:hAnsi="Arial"/>
        </w:rPr>
        <w:t>This page analyses the current 16 week transport plan. Pickup view uses the pickup week. Arrival view shifts the same flow to arrival week and shows what volume is expected at each delivery location.</w:t>
      </w:r>
    </w:p>
    <w:p>
      <w:pPr>
        <w:pStyle w:val="ListBullet"/>
        <w:spacing w:after="60"/>
        <w:ind w:left="317" w:hanging="173"/>
      </w:pPr>
      <w:r>
        <w:rPr>
          <w:rFonts w:ascii="Arial" w:hAnsi="Arial"/>
        </w:rPr>
        <w:t>Slicers include week, leg, carrier, start node, delivery node and transport mode where applicable.</w:t>
      </w:r>
    </w:p>
    <w:p>
      <w:pPr>
        <w:pStyle w:val="ListBullet"/>
        <w:spacing w:after="60"/>
        <w:ind w:left="317" w:hanging="173"/>
      </w:pPr>
      <w:r>
        <w:rPr>
          <w:rFonts w:ascii="Arial" w:hAnsi="Arial"/>
        </w:rPr>
        <w:t>The matrix uses physical leg and carrier in rows and weeks in columns.</w:t>
      </w:r>
    </w:p>
    <w:p>
      <w:pPr>
        <w:pStyle w:val="ListBullet"/>
        <w:spacing w:after="60"/>
        <w:ind w:left="317" w:hanging="173"/>
      </w:pPr>
      <w:r>
        <w:rPr>
          <w:rFonts w:ascii="Arial" w:hAnsi="Arial"/>
        </w:rPr>
        <w:t>The Tactical Metric field parameter switches between allocated pallets, capacity, utilisation, overload and additional trucks.</w:t>
      </w:r>
    </w:p>
    <w:p>
      <w:pPr>
        <w:pStyle w:val="ListBullet"/>
        <w:spacing w:after="60"/>
        <w:ind w:left="317" w:hanging="173"/>
      </w:pPr>
      <w:r>
        <w:rPr>
          <w:rFonts w:ascii="Arial" w:hAnsi="Arial"/>
        </w:rPr>
        <w:t>The Used versus Available chart compares allocated pallets with capacity and shows utilisation as a line.</w:t>
      </w:r>
    </w:p>
    <w:p>
      <w:pPr>
        <w:pStyle w:val="ListBullet"/>
        <w:spacing w:after="60"/>
        <w:ind w:left="317" w:hanging="173"/>
      </w:pPr>
      <w:r>
        <w:rPr>
          <w:rFonts w:ascii="Arial" w:hAnsi="Arial"/>
        </w:rPr>
        <w:t>The Capacity Risks chart ranks physical legs or carriers that require additional trucks.</w:t>
      </w:r>
    </w:p>
    <w:p>
      <w:pPr>
        <w:pStyle w:val="ListBullet"/>
        <w:spacing w:after="60"/>
        <w:ind w:left="317" w:hanging="173"/>
      </w:pPr>
      <w:r>
        <w:rPr>
          <w:rFonts w:ascii="Arial" w:hAnsi="Arial"/>
        </w:rPr>
        <w:t>Pickup and Arrival views are controlled by bookmarks and Selection pane groups.</w:t>
      </w:r>
    </w:p>
    <w:p>
      <w:pPr>
        <w:pStyle w:val="Heading2"/>
      </w:pPr>
      <w:r>
        <w:t>4 2 Tactical Revision</w:t>
      </w:r>
    </w:p>
    <w:p>
      <w:r>
        <w:rPr>
          <w:rFonts w:ascii="Arial" w:hAnsi="Arial"/>
        </w:rPr>
        <w:t>This page compares the CURRENT and PREVIOUS snapshots in a common filter context. It identifies where the plan increased, decreased or remained stable while keeping absolute and percentage changes separate.</w:t>
      </w:r>
    </w:p>
    <w:p>
      <w:pPr>
        <w:pStyle w:val="ListBullet"/>
        <w:spacing w:after="60"/>
        <w:ind w:left="317" w:hanging="173"/>
      </w:pPr>
      <w:r>
        <w:rPr>
          <w:rFonts w:ascii="Arial" w:hAnsi="Arial"/>
        </w:rPr>
        <w:t>A trend chart displays current and previous allocated pallets by week.</w:t>
      </w:r>
    </w:p>
    <w:p>
      <w:pPr>
        <w:pStyle w:val="ListBullet"/>
        <w:spacing w:after="60"/>
        <w:ind w:left="317" w:hanging="173"/>
      </w:pPr>
      <w:r>
        <w:rPr>
          <w:rFonts w:ascii="Arial" w:hAnsi="Arial"/>
        </w:rPr>
        <w:t>A largest changes chart ranks legs or carriers by absolute revision.</w:t>
      </w:r>
    </w:p>
    <w:p>
      <w:pPr>
        <w:pStyle w:val="ListBullet"/>
        <w:spacing w:after="60"/>
        <w:ind w:left="317" w:hanging="173"/>
      </w:pPr>
      <w:r>
        <w:rPr>
          <w:rFonts w:ascii="Arial" w:hAnsi="Arial"/>
        </w:rPr>
        <w:t>The matrix displays current, previous, absolute revision and revision percent.</w:t>
      </w:r>
    </w:p>
    <w:p>
      <w:pPr>
        <w:pStyle w:val="ListBullet"/>
        <w:spacing w:after="60"/>
        <w:ind w:left="317" w:hanging="173"/>
      </w:pPr>
      <w:r>
        <w:rPr>
          <w:rFonts w:ascii="Arial" w:hAnsi="Arial"/>
        </w:rPr>
        <w:t>The Risk Dimension selector changes the analysed entity between physical leg and carrier.</w:t>
      </w:r>
    </w:p>
    <w:p>
      <w:pPr>
        <w:pStyle w:val="ListBullet"/>
        <w:spacing w:after="60"/>
        <w:ind w:left="317" w:hanging="173"/>
      </w:pPr>
      <w:r>
        <w:rPr>
          <w:rFonts w:ascii="Arial" w:hAnsi="Arial"/>
        </w:rPr>
        <w:t>Revision colours distinguish increases from decreases but do not automatically label every change as good or bad.</w:t>
      </w:r>
    </w:p>
    <w:p>
      <w:pPr>
        <w:pStyle w:val="Heading2"/>
      </w:pPr>
      <w:r>
        <w:t>4 3 Short Term</w:t>
      </w:r>
    </w:p>
    <w:p>
      <w:r>
        <w:rPr>
          <w:rFonts w:ascii="Arial" w:hAnsi="Arial"/>
        </w:rPr>
        <w:t>This page presents the 14 day operational pickup plan. Daily grain distinguishes a single difficult day from a weekly issue that is spread evenly across several dates.</w:t>
      </w:r>
    </w:p>
    <w:p>
      <w:pPr>
        <w:pStyle w:val="ListBullet"/>
        <w:spacing w:after="60"/>
        <w:ind w:left="317" w:hanging="173"/>
      </w:pPr>
      <w:r>
        <w:rPr>
          <w:rFonts w:ascii="Arial" w:hAnsi="Arial"/>
        </w:rPr>
        <w:t>The matrix uses physical leg and carrier in rows and pickup dates in columns.</w:t>
      </w:r>
    </w:p>
    <w:p>
      <w:pPr>
        <w:pStyle w:val="ListBullet"/>
        <w:spacing w:after="60"/>
        <w:ind w:left="317" w:hanging="173"/>
      </w:pPr>
      <w:r>
        <w:rPr>
          <w:rFonts w:ascii="Arial" w:hAnsi="Arial"/>
        </w:rPr>
        <w:t>The Short Term Daily Metric parameter switches between daily pallets and required trucks.</w:t>
      </w:r>
    </w:p>
    <w:p>
      <w:pPr>
        <w:pStyle w:val="ListBullet"/>
        <w:spacing w:after="60"/>
        <w:ind w:left="317" w:hanging="173"/>
      </w:pPr>
      <w:r>
        <w:rPr>
          <w:rFonts w:ascii="Arial" w:hAnsi="Arial"/>
        </w:rPr>
        <w:t>The Daily Pickup Workload chart combines daily pallets and required trucks.</w:t>
      </w:r>
    </w:p>
    <w:p>
      <w:pPr>
        <w:pStyle w:val="ListBullet"/>
        <w:spacing w:after="60"/>
        <w:ind w:left="317" w:hanging="173"/>
      </w:pPr>
      <w:r>
        <w:rPr>
          <w:rFonts w:ascii="Arial" w:hAnsi="Arial"/>
        </w:rPr>
        <w:t>The Additional Trucks Required chart ranks legs or carriers by missing capacity.</w:t>
      </w:r>
    </w:p>
    <w:p>
      <w:pPr>
        <w:pStyle w:val="ListBullet"/>
        <w:spacing w:after="60"/>
        <w:ind w:left="317" w:hanging="173"/>
      </w:pPr>
      <w:r>
        <w:rPr>
          <w:rFonts w:ascii="Arial" w:hAnsi="Arial"/>
        </w:rPr>
        <w:t>Conditional formatting draws attention to overloaded days without requiring record by record review.</w:t>
      </w:r>
    </w:p>
    <w:p>
      <w:pPr>
        <w:pStyle w:val="Heading2"/>
      </w:pPr>
      <w:r>
        <w:t>4 4 Transport Costs</w:t>
      </w:r>
    </w:p>
    <w:p>
      <w:r>
        <w:rPr>
          <w:rFonts w:ascii="Arial" w:hAnsi="Arial"/>
        </w:rPr>
        <w:t>This page analyses cost for the current tactical and short term plans. Users can switch the plan source and compare carriers or legs with similar distance, pallet volume and truck count.</w:t>
      </w:r>
    </w:p>
    <w:p>
      <w:pPr>
        <w:pStyle w:val="ListBullet"/>
        <w:spacing w:after="60"/>
        <w:ind w:left="317" w:hanging="173"/>
      </w:pPr>
      <w:r>
        <w:rPr>
          <w:rFonts w:ascii="Arial" w:hAnsi="Arial"/>
        </w:rPr>
        <w:t>Cards show total transport cost, cost per pallet and pallet volume in the current filter context.</w:t>
      </w:r>
    </w:p>
    <w:p>
      <w:pPr>
        <w:pStyle w:val="ListBullet"/>
        <w:spacing w:after="60"/>
        <w:ind w:left="317" w:hanging="173"/>
      </w:pPr>
      <w:r>
        <w:rPr>
          <w:rFonts w:ascii="Arial" w:hAnsi="Arial"/>
        </w:rPr>
        <w:t>The cost table includes distance, pallets, trucks, total cost, cost per truck, cost per truck kilometre and cost per pallet kilometre.</w:t>
      </w:r>
    </w:p>
    <w:p>
      <w:pPr>
        <w:pStyle w:val="ListBullet"/>
        <w:spacing w:after="60"/>
        <w:ind w:left="317" w:hanging="173"/>
      </w:pPr>
      <w:r>
        <w:rPr>
          <w:rFonts w:ascii="Arial" w:hAnsi="Arial"/>
        </w:rPr>
        <w:t>The Distance versus Rate scatter plot identifies carriers with a higher rate at a comparable distance.</w:t>
      </w:r>
    </w:p>
    <w:p>
      <w:pPr>
        <w:pStyle w:val="ListBullet"/>
        <w:spacing w:after="60"/>
        <w:ind w:left="317" w:hanging="173"/>
      </w:pPr>
      <w:r>
        <w:rPr>
          <w:rFonts w:ascii="Arial" w:hAnsi="Arial"/>
        </w:rPr>
        <w:t>The time trend displays weekly or daily transport cost.</w:t>
      </w:r>
    </w:p>
    <w:p>
      <w:pPr>
        <w:pStyle w:val="ListBullet"/>
        <w:spacing w:after="60"/>
        <w:ind w:left="317" w:hanging="173"/>
      </w:pPr>
      <w:r>
        <w:rPr>
          <w:rFonts w:ascii="Arial" w:hAnsi="Arial"/>
        </w:rPr>
        <w:t>The cost ranking shows the legs or carriers with the greatest impact on the transport budget.</w:t>
      </w:r>
    </w:p>
    <w:p>
      <w:pPr>
        <w:pStyle w:val="Heading2"/>
      </w:pPr>
      <w:r>
        <w:t>4 5 Stock Scenario</w:t>
      </w:r>
    </w:p>
    <w:p>
      <w:r>
        <w:rPr>
          <w:rFonts w:ascii="Arial" w:hAnsi="Arial"/>
        </w:rPr>
        <w:t>This page uses the numeric Demand Change Units What If parameter. The user selects one factory, one product and one scenario week, then enters incremental demand in units. The chart compares baseline closing stock with scenario closing stock.</w:t>
      </w:r>
    </w:p>
    <w:p>
      <w:r>
        <w:rPr>
          <w:rFonts w:ascii="Arial" w:hAnsi="Arial"/>
        </w:rPr>
        <w:t>Incremental demand increases requirement in the selected week. Its effect on closing stock continues from the selected week to the end of the horizon because stock is not rebuilt automatically without additional production.</w:t>
      </w:r>
    </w:p>
    <w:p>
      <w:pPr>
        <w:pStyle w:val="Heading2"/>
      </w:pPr>
      <w:r>
        <w:t>4 6 Stock Overview</w:t>
      </w:r>
    </w:p>
    <w:p>
      <w:r>
        <w:rPr>
          <w:rFonts w:ascii="Arial" w:hAnsi="Arial"/>
        </w:rPr>
        <w:t>This page provides a broad view of the baseline stock projection. The factory and product by week matrix locates a specific shortage, while charts aggregate the number of products at risk and the shortage volume.</w:t>
      </w:r>
    </w:p>
    <w:p>
      <w:pPr>
        <w:pStyle w:val="ListBullet"/>
        <w:spacing w:after="60"/>
        <w:ind w:left="317" w:hanging="173"/>
      </w:pPr>
      <w:r>
        <w:rPr>
          <w:rFonts w:ascii="Arial" w:hAnsi="Arial"/>
        </w:rPr>
        <w:t>Negative closing stock cells use a red background and zero uses an amber warning colour.</w:t>
      </w:r>
    </w:p>
    <w:p>
      <w:pPr>
        <w:pStyle w:val="ListBullet"/>
        <w:spacing w:after="60"/>
        <w:ind w:left="317" w:hanging="173"/>
      </w:pPr>
      <w:r>
        <w:rPr>
          <w:rFonts w:ascii="Arial" w:hAnsi="Arial"/>
        </w:rPr>
        <w:t>Products in Shortage counts products with a positive Current Stock Shortage Units measure.</w:t>
      </w:r>
    </w:p>
    <w:p>
      <w:pPr>
        <w:pStyle w:val="ListBullet"/>
        <w:spacing w:after="60"/>
        <w:ind w:left="317" w:hanging="173"/>
      </w:pPr>
      <w:r>
        <w:rPr>
          <w:rFonts w:ascii="Arial" w:hAnsi="Arial"/>
        </w:rPr>
        <w:t>Weekly Stock Shortage Units shows when shortage risk increases or disappears.</w:t>
      </w:r>
    </w:p>
    <w:p>
      <w:pPr>
        <w:pStyle w:val="ListBullet"/>
        <w:spacing w:after="60"/>
        <w:ind w:left="317" w:hanging="173"/>
      </w:pPr>
      <w:r>
        <w:rPr>
          <w:rFonts w:ascii="Arial" w:hAnsi="Arial"/>
        </w:rPr>
        <w:t>Week, factory and product slicers support broad or focused analysis without forcing a single selection.</w:t>
      </w:r>
    </w:p>
    <w:p>
      <w:pPr>
        <w:pStyle w:val="Heading1"/>
      </w:pPr>
      <w:r>
        <w:t>5 Core measure logic</w:t>
      </w:r>
    </w:p>
    <w:p>
      <w:pPr>
        <w:pStyle w:val="Heading2"/>
      </w:pPr>
      <w:r>
        <w:t>5 1 Transport and capacity</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3240"/>
            <w:shd w:fill="17365D"/>
            <w:vAlign w:val="center"/>
            <w:tcMar>
              <w:top w:w="100" w:type="dxa"/>
              <w:start w:w="100" w:type="dxa"/>
              <w:bottom w:w="100" w:type="dxa"/>
              <w:end w:w="100" w:type="dxa"/>
            </w:tcMar>
          </w:tcPr>
          <w:p>
            <w:pPr>
              <w:spacing w:after="0"/>
              <w:jc w:val="center"/>
            </w:pPr>
            <w:r>
              <w:rPr>
                <w:rFonts w:ascii="Arial" w:hAnsi="Arial"/>
                <w:b/>
                <w:color w:val="FFFFFF"/>
                <w:sz w:val="17"/>
              </w:rPr>
              <w:t>Measure</w:t>
            </w:r>
          </w:p>
        </w:tc>
        <w:tc>
          <w:tcPr>
            <w:tcW w:type="dxa" w:w="6480"/>
            <w:shd w:fill="17365D"/>
            <w:vAlign w:val="center"/>
            <w:tcMar>
              <w:top w:w="100" w:type="dxa"/>
              <w:start w:w="100" w:type="dxa"/>
              <w:bottom w:w="100" w:type="dxa"/>
              <w:end w:w="100" w:type="dxa"/>
            </w:tcMar>
          </w:tcPr>
          <w:p>
            <w:pPr>
              <w:spacing w:after="0"/>
              <w:jc w:val="center"/>
            </w:pPr>
            <w:r>
              <w:rPr>
                <w:rFonts w:ascii="Arial" w:hAnsi="Arial"/>
                <w:b/>
                <w:color w:val="FFFFFF"/>
                <w:sz w:val="17"/>
              </w:rPr>
              <w:t>Business definition</w:t>
            </w:r>
          </w:p>
        </w:tc>
      </w:tr>
      <w:tr>
        <w:trPr>
          <w:cantSplit/>
        </w:trPr>
        <w:tc>
          <w:tcPr>
            <w:tcW w:type="dxa" w:w="3240"/>
            <w:vAlign w:val="center"/>
            <w:tcMar>
              <w:top w:w="105" w:type="dxa"/>
              <w:start w:w="110" w:type="dxa"/>
              <w:bottom w:w="105" w:type="dxa"/>
              <w:end w:w="110" w:type="dxa"/>
            </w:tcMar>
          </w:tcPr>
          <w:p>
            <w:pPr>
              <w:spacing w:after="0" w:line="240" w:lineRule="auto"/>
              <w:jc w:val="left"/>
            </w:pPr>
            <w:r>
              <w:rPr>
                <w:rFonts w:ascii="Arial" w:hAnsi="Arial"/>
                <w:sz w:val="17"/>
              </w:rPr>
              <w:t>Allocated Pallets</w:t>
            </w:r>
          </w:p>
        </w:tc>
        <w:tc>
          <w:tcPr>
            <w:tcW w:type="dxa" w:w="6480"/>
            <w:vAlign w:val="center"/>
            <w:tcMar>
              <w:top w:w="105" w:type="dxa"/>
              <w:start w:w="110" w:type="dxa"/>
              <w:bottom w:w="105" w:type="dxa"/>
              <w:end w:w="110" w:type="dxa"/>
            </w:tcMar>
          </w:tcPr>
          <w:p>
            <w:pPr>
              <w:spacing w:after="0" w:line="240" w:lineRule="auto"/>
              <w:jc w:val="left"/>
            </w:pPr>
            <w:r>
              <w:rPr>
                <w:rFonts w:ascii="Arial" w:hAnsi="Arial"/>
                <w:sz w:val="17"/>
              </w:rPr>
              <w:t>Sum of pallets allocated to a carrier in the current physical leg and time context.</w:t>
            </w:r>
          </w:p>
        </w:tc>
      </w:tr>
      <w:tr>
        <w:trPr>
          <w:cantSplit/>
        </w:trPr>
        <w:tc>
          <w:tcPr>
            <w:tcW w:type="dxa" w:w="3240"/>
            <w:shd w:fill="F3F5F7"/>
            <w:vAlign w:val="center"/>
            <w:tcMar>
              <w:top w:w="105" w:type="dxa"/>
              <w:start w:w="110" w:type="dxa"/>
              <w:bottom w:w="105" w:type="dxa"/>
              <w:end w:w="110" w:type="dxa"/>
            </w:tcMar>
          </w:tcPr>
          <w:p>
            <w:pPr>
              <w:spacing w:after="0" w:line="240" w:lineRule="auto"/>
              <w:jc w:val="left"/>
            </w:pPr>
            <w:r>
              <w:rPr>
                <w:rFonts w:ascii="Arial" w:hAnsi="Arial"/>
                <w:sz w:val="17"/>
              </w:rPr>
              <w:t>Carrier Capacity Pallets</w:t>
            </w:r>
          </w:p>
        </w:tc>
        <w:tc>
          <w:tcPr>
            <w:tcW w:type="dxa" w:w="6480"/>
            <w:shd w:fill="F3F5F7"/>
            <w:vAlign w:val="center"/>
            <w:tcMar>
              <w:top w:w="105" w:type="dxa"/>
              <w:start w:w="110" w:type="dxa"/>
              <w:bottom w:w="105" w:type="dxa"/>
              <w:end w:w="110" w:type="dxa"/>
            </w:tcMar>
          </w:tcPr>
          <w:p>
            <w:pPr>
              <w:spacing w:after="0" w:line="240" w:lineRule="auto"/>
              <w:jc w:val="left"/>
            </w:pPr>
            <w:r>
              <w:rPr>
                <w:rFonts w:ascii="Arial" w:hAnsi="Arial"/>
                <w:sz w:val="17"/>
              </w:rPr>
              <w:t>Available capacity based on contracted truck count and vehicle pallet capacity.</w:t>
            </w:r>
          </w:p>
        </w:tc>
      </w:tr>
      <w:tr>
        <w:trPr>
          <w:cantSplit/>
        </w:trPr>
        <w:tc>
          <w:tcPr>
            <w:tcW w:type="dxa" w:w="3240"/>
            <w:vAlign w:val="center"/>
            <w:tcMar>
              <w:top w:w="105" w:type="dxa"/>
              <w:start w:w="110" w:type="dxa"/>
              <w:bottom w:w="105" w:type="dxa"/>
              <w:end w:w="110" w:type="dxa"/>
            </w:tcMar>
          </w:tcPr>
          <w:p>
            <w:pPr>
              <w:spacing w:after="0" w:line="240" w:lineRule="auto"/>
              <w:jc w:val="left"/>
            </w:pPr>
            <w:r>
              <w:rPr>
                <w:rFonts w:ascii="Arial" w:hAnsi="Arial"/>
                <w:sz w:val="17"/>
              </w:rPr>
              <w:t>Capacity Utilization Percent</w:t>
            </w:r>
          </w:p>
        </w:tc>
        <w:tc>
          <w:tcPr>
            <w:tcW w:type="dxa" w:w="6480"/>
            <w:vAlign w:val="center"/>
            <w:tcMar>
              <w:top w:w="105" w:type="dxa"/>
              <w:start w:w="110" w:type="dxa"/>
              <w:bottom w:w="105" w:type="dxa"/>
              <w:end w:w="110" w:type="dxa"/>
            </w:tcMar>
          </w:tcPr>
          <w:p>
            <w:pPr>
              <w:spacing w:after="0" w:line="240" w:lineRule="auto"/>
              <w:jc w:val="left"/>
            </w:pPr>
            <w:r>
              <w:rPr>
                <w:rFonts w:ascii="Arial" w:hAnsi="Arial"/>
                <w:sz w:val="17"/>
              </w:rPr>
              <w:t>Allocated Pallets divided by Carrier Capacity Pallets.</w:t>
            </w:r>
          </w:p>
        </w:tc>
      </w:tr>
      <w:tr>
        <w:trPr>
          <w:cantSplit/>
        </w:trPr>
        <w:tc>
          <w:tcPr>
            <w:tcW w:type="dxa" w:w="3240"/>
            <w:shd w:fill="F3F5F7"/>
            <w:vAlign w:val="center"/>
            <w:tcMar>
              <w:top w:w="105" w:type="dxa"/>
              <w:start w:w="110" w:type="dxa"/>
              <w:bottom w:w="105" w:type="dxa"/>
              <w:end w:w="110" w:type="dxa"/>
            </w:tcMar>
          </w:tcPr>
          <w:p>
            <w:pPr>
              <w:spacing w:after="0" w:line="240" w:lineRule="auto"/>
              <w:jc w:val="left"/>
            </w:pPr>
            <w:r>
              <w:rPr>
                <w:rFonts w:ascii="Arial" w:hAnsi="Arial"/>
                <w:sz w:val="17"/>
              </w:rPr>
              <w:t>Overload Pallets</w:t>
            </w:r>
          </w:p>
        </w:tc>
        <w:tc>
          <w:tcPr>
            <w:tcW w:type="dxa" w:w="6480"/>
            <w:shd w:fill="F3F5F7"/>
            <w:vAlign w:val="center"/>
            <w:tcMar>
              <w:top w:w="105" w:type="dxa"/>
              <w:start w:w="110" w:type="dxa"/>
              <w:bottom w:w="105" w:type="dxa"/>
              <w:end w:w="110" w:type="dxa"/>
            </w:tcMar>
          </w:tcPr>
          <w:p>
            <w:pPr>
              <w:spacing w:after="0" w:line="240" w:lineRule="auto"/>
              <w:jc w:val="left"/>
            </w:pPr>
            <w:r>
              <w:rPr>
                <w:rFonts w:ascii="Arial" w:hAnsi="Arial"/>
                <w:sz w:val="17"/>
              </w:rPr>
              <w:t>Positive part of Allocated Pallets minus Capacity Pallets.</w:t>
            </w:r>
          </w:p>
        </w:tc>
      </w:tr>
      <w:tr>
        <w:trPr>
          <w:cantSplit/>
        </w:trPr>
        <w:tc>
          <w:tcPr>
            <w:tcW w:type="dxa" w:w="3240"/>
            <w:vAlign w:val="center"/>
            <w:tcMar>
              <w:top w:w="105" w:type="dxa"/>
              <w:start w:w="110" w:type="dxa"/>
              <w:bottom w:w="105" w:type="dxa"/>
              <w:end w:w="110" w:type="dxa"/>
            </w:tcMar>
          </w:tcPr>
          <w:p>
            <w:pPr>
              <w:spacing w:after="0" w:line="240" w:lineRule="auto"/>
              <w:jc w:val="left"/>
            </w:pPr>
            <w:r>
              <w:rPr>
                <w:rFonts w:ascii="Arial" w:hAnsi="Arial"/>
                <w:sz w:val="17"/>
              </w:rPr>
              <w:t>Additional Trucks Required</w:t>
            </w:r>
          </w:p>
        </w:tc>
        <w:tc>
          <w:tcPr>
            <w:tcW w:type="dxa" w:w="6480"/>
            <w:vAlign w:val="center"/>
            <w:tcMar>
              <w:top w:w="105" w:type="dxa"/>
              <w:start w:w="110" w:type="dxa"/>
              <w:bottom w:w="105" w:type="dxa"/>
              <w:end w:w="110" w:type="dxa"/>
            </w:tcMar>
          </w:tcPr>
          <w:p>
            <w:pPr>
              <w:spacing w:after="0" w:line="240" w:lineRule="auto"/>
              <w:jc w:val="left"/>
            </w:pPr>
            <w:r>
              <w:rPr>
                <w:rFonts w:ascii="Arial" w:hAnsi="Arial"/>
                <w:sz w:val="17"/>
              </w:rPr>
              <w:t>Overload converted into whole trucks and rounded up.</w:t>
            </w:r>
          </w:p>
        </w:tc>
      </w:tr>
      <w:tr>
        <w:trPr>
          <w:cantSplit/>
        </w:trPr>
        <w:tc>
          <w:tcPr>
            <w:tcW w:type="dxa" w:w="3240"/>
            <w:shd w:fill="F3F5F7"/>
            <w:vAlign w:val="center"/>
            <w:tcMar>
              <w:top w:w="105" w:type="dxa"/>
              <w:start w:w="110" w:type="dxa"/>
              <w:bottom w:w="105" w:type="dxa"/>
              <w:end w:w="110" w:type="dxa"/>
            </w:tcMar>
          </w:tcPr>
          <w:p>
            <w:pPr>
              <w:spacing w:after="0" w:line="240" w:lineRule="auto"/>
              <w:jc w:val="left"/>
            </w:pPr>
            <w:r>
              <w:rPr>
                <w:rFonts w:ascii="Arial" w:hAnsi="Arial"/>
                <w:sz w:val="17"/>
              </w:rPr>
              <w:t>Arrival Pallets</w:t>
            </w:r>
          </w:p>
        </w:tc>
        <w:tc>
          <w:tcPr>
            <w:tcW w:type="dxa" w:w="6480"/>
            <w:shd w:fill="F3F5F7"/>
            <w:vAlign w:val="center"/>
            <w:tcMar>
              <w:top w:w="105" w:type="dxa"/>
              <w:start w:w="110" w:type="dxa"/>
              <w:bottom w:w="105" w:type="dxa"/>
              <w:end w:w="110" w:type="dxa"/>
            </w:tcMar>
          </w:tcPr>
          <w:p>
            <w:pPr>
              <w:spacing w:after="0" w:line="240" w:lineRule="auto"/>
              <w:jc w:val="left"/>
            </w:pPr>
            <w:r>
              <w:rPr>
                <w:rFonts w:ascii="Arial" w:hAnsi="Arial"/>
                <w:sz w:val="17"/>
              </w:rPr>
              <w:t>Pallets assigned to arrival week after transit and handling time.</w:t>
            </w:r>
          </w:p>
        </w:tc>
      </w:tr>
    </w:tbl>
    <w:p>
      <w:pPr>
        <w:spacing w:after="20"/>
      </w:pPr>
    </w:p>
    <w:p>
      <w:pPr>
        <w:pStyle w:val="Heading2"/>
      </w:pPr>
      <w:r>
        <w:t>5 2 Plan revision</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3384"/>
            <w:shd w:fill="17365D"/>
            <w:vAlign w:val="center"/>
            <w:tcMar>
              <w:top w:w="100" w:type="dxa"/>
              <w:start w:w="100" w:type="dxa"/>
              <w:bottom w:w="100" w:type="dxa"/>
              <w:end w:w="100" w:type="dxa"/>
            </w:tcMar>
          </w:tcPr>
          <w:p>
            <w:pPr>
              <w:spacing w:after="0"/>
              <w:jc w:val="center"/>
            </w:pPr>
            <w:r>
              <w:rPr>
                <w:rFonts w:ascii="Arial" w:hAnsi="Arial"/>
                <w:b/>
                <w:color w:val="FFFFFF"/>
                <w:sz w:val="17"/>
              </w:rPr>
              <w:t>Measure</w:t>
            </w:r>
          </w:p>
        </w:tc>
        <w:tc>
          <w:tcPr>
            <w:tcW w:type="dxa" w:w="6336"/>
            <w:shd w:fill="17365D"/>
            <w:vAlign w:val="center"/>
            <w:tcMar>
              <w:top w:w="100" w:type="dxa"/>
              <w:start w:w="100" w:type="dxa"/>
              <w:bottom w:w="100" w:type="dxa"/>
              <w:end w:w="100" w:type="dxa"/>
            </w:tcMar>
          </w:tcPr>
          <w:p>
            <w:pPr>
              <w:spacing w:after="0"/>
              <w:jc w:val="center"/>
            </w:pPr>
            <w:r>
              <w:rPr>
                <w:rFonts w:ascii="Arial" w:hAnsi="Arial"/>
                <w:b/>
                <w:color w:val="FFFFFF"/>
                <w:sz w:val="17"/>
              </w:rPr>
              <w:t>Logic</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Carrier Pallets Revision</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Current Allocated Pallets minus Previous Allocated Pallets.</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Carrier Pallets Revision Percent</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Revision divided by Previous Allocated Pallets with safe zero denominator handling.</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Revision Absolute</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Absolute revision used to rank the largest plan changes.</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Component Units Revision</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Difference between current and previous component demand when used by the selected visual.</w:t>
            </w:r>
          </w:p>
        </w:tc>
      </w:tr>
    </w:tbl>
    <w:p>
      <w:pPr>
        <w:spacing w:after="20"/>
      </w:pPr>
    </w:p>
    <w:p>
      <w:pPr>
        <w:pStyle w:val="Heading2"/>
      </w:pPr>
      <w:r>
        <w:t>5 3 Cost</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3384"/>
            <w:shd w:fill="17365D"/>
            <w:vAlign w:val="center"/>
            <w:tcMar>
              <w:top w:w="100" w:type="dxa"/>
              <w:start w:w="100" w:type="dxa"/>
              <w:bottom w:w="100" w:type="dxa"/>
              <w:end w:w="100" w:type="dxa"/>
            </w:tcMar>
          </w:tcPr>
          <w:p>
            <w:pPr>
              <w:spacing w:after="0"/>
              <w:jc w:val="center"/>
            </w:pPr>
            <w:r>
              <w:rPr>
                <w:rFonts w:ascii="Arial" w:hAnsi="Arial"/>
                <w:b/>
                <w:color w:val="FFFFFF"/>
                <w:sz w:val="17"/>
              </w:rPr>
              <w:t>Measure</w:t>
            </w:r>
          </w:p>
        </w:tc>
        <w:tc>
          <w:tcPr>
            <w:tcW w:type="dxa" w:w="6336"/>
            <w:shd w:fill="17365D"/>
            <w:vAlign w:val="center"/>
            <w:tcMar>
              <w:top w:w="100" w:type="dxa"/>
              <w:start w:w="100" w:type="dxa"/>
              <w:bottom w:w="100" w:type="dxa"/>
              <w:end w:w="100" w:type="dxa"/>
            </w:tcMar>
          </w:tcPr>
          <w:p>
            <w:pPr>
              <w:spacing w:after="0"/>
              <w:jc w:val="center"/>
            </w:pPr>
            <w:r>
              <w:rPr>
                <w:rFonts w:ascii="Arial" w:hAnsi="Arial"/>
                <w:b/>
                <w:color w:val="FFFFFF"/>
                <w:sz w:val="17"/>
              </w:rPr>
              <w:t>Definition</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Total Transport Cost EUR</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Required or planned trucks multiplied by the contractual cost per truck on the physical leg.</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Cost per Pallet EUR</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Total cost divided by pallet volume.</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Cost per Truck EUR</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Total cost divided by truck count.</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Cost per Truck Km EUR</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Total cost divided by truck kilometres.</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Cost per Pallet Km EUR</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Total cost divided by pallet kilometres.</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Average Distance Km</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Average distance evaluated in the current physical leg and carrier context.</w:t>
            </w:r>
          </w:p>
        </w:tc>
      </w:tr>
    </w:tbl>
    <w:p>
      <w:pPr>
        <w:spacing w:after="20"/>
      </w:pPr>
    </w:p>
    <w:p>
      <w:pPr>
        <w:pStyle w:val="Heading2"/>
      </w:pPr>
      <w:r>
        <w:t>5 4 Stock</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3384"/>
            <w:shd w:fill="17365D"/>
            <w:vAlign w:val="center"/>
            <w:tcMar>
              <w:top w:w="100" w:type="dxa"/>
              <w:start w:w="100" w:type="dxa"/>
              <w:bottom w:w="100" w:type="dxa"/>
              <w:end w:w="100" w:type="dxa"/>
            </w:tcMar>
          </w:tcPr>
          <w:p>
            <w:pPr>
              <w:spacing w:after="0"/>
              <w:jc w:val="center"/>
            </w:pPr>
            <w:r>
              <w:rPr>
                <w:rFonts w:ascii="Arial" w:hAnsi="Arial"/>
                <w:b/>
                <w:color w:val="FFFFFF"/>
                <w:sz w:val="17"/>
              </w:rPr>
              <w:t>Measure</w:t>
            </w:r>
          </w:p>
        </w:tc>
        <w:tc>
          <w:tcPr>
            <w:tcW w:type="dxa" w:w="6336"/>
            <w:shd w:fill="17365D"/>
            <w:vAlign w:val="center"/>
            <w:tcMar>
              <w:top w:w="100" w:type="dxa"/>
              <w:start w:w="100" w:type="dxa"/>
              <w:bottom w:w="100" w:type="dxa"/>
              <w:end w:w="100" w:type="dxa"/>
            </w:tcMar>
          </w:tcPr>
          <w:p>
            <w:pPr>
              <w:spacing w:after="0"/>
              <w:jc w:val="center"/>
            </w:pPr>
            <w:r>
              <w:rPr>
                <w:rFonts w:ascii="Arial" w:hAnsi="Arial"/>
                <w:b/>
                <w:color w:val="FFFFFF"/>
                <w:sz w:val="17"/>
              </w:rPr>
              <w:t>Definition</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Current Closing Stock Units</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Sum of closing stock units calculated by the SQL stock projection.</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Current Requirement Units</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Sum of requirement units for the selected factory, product and week.</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Scenario Requirement Units</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Baseline requirement plus Demand Change Units in the selected week.</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Scenario Closing Stock Units</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Baseline closing stock minus Demand Change Units from the scenario week onward.</w:t>
            </w:r>
          </w:p>
        </w:tc>
      </w:tr>
      <w:tr>
        <w:trPr>
          <w:cantSplit/>
        </w:trPr>
        <w:tc>
          <w:tcPr>
            <w:tcW w:type="dxa" w:w="3384"/>
            <w:vAlign w:val="center"/>
            <w:tcMar>
              <w:top w:w="105" w:type="dxa"/>
              <w:start w:w="110" w:type="dxa"/>
              <w:bottom w:w="105" w:type="dxa"/>
              <w:end w:w="110" w:type="dxa"/>
            </w:tcMar>
          </w:tcPr>
          <w:p>
            <w:pPr>
              <w:spacing w:after="0" w:line="240" w:lineRule="auto"/>
              <w:jc w:val="left"/>
            </w:pPr>
            <w:r>
              <w:rPr>
                <w:rFonts w:ascii="Arial" w:hAnsi="Arial"/>
                <w:sz w:val="17"/>
              </w:rPr>
              <w:t>Scenario Shortage Units</w:t>
            </w:r>
          </w:p>
        </w:tc>
        <w:tc>
          <w:tcPr>
            <w:tcW w:type="dxa" w:w="6336"/>
            <w:vAlign w:val="center"/>
            <w:tcMar>
              <w:top w:w="105" w:type="dxa"/>
              <w:start w:w="110" w:type="dxa"/>
              <w:bottom w:w="105" w:type="dxa"/>
              <w:end w:w="110" w:type="dxa"/>
            </w:tcMar>
          </w:tcPr>
          <w:p>
            <w:pPr>
              <w:spacing w:after="0" w:line="240" w:lineRule="auto"/>
              <w:jc w:val="left"/>
            </w:pPr>
            <w:r>
              <w:rPr>
                <w:rFonts w:ascii="Arial" w:hAnsi="Arial"/>
                <w:sz w:val="17"/>
              </w:rPr>
              <w:t>The greater of zero and negative Scenario Closing Stock Units.</w:t>
            </w:r>
          </w:p>
        </w:tc>
      </w:tr>
      <w:tr>
        <w:trPr>
          <w:cantSplit/>
        </w:trPr>
        <w:tc>
          <w:tcPr>
            <w:tcW w:type="dxa" w:w="3384"/>
            <w:shd w:fill="F3F5F7"/>
            <w:vAlign w:val="center"/>
            <w:tcMar>
              <w:top w:w="105" w:type="dxa"/>
              <w:start w:w="110" w:type="dxa"/>
              <w:bottom w:w="105" w:type="dxa"/>
              <w:end w:w="110" w:type="dxa"/>
            </w:tcMar>
          </w:tcPr>
          <w:p>
            <w:pPr>
              <w:spacing w:after="0" w:line="240" w:lineRule="auto"/>
              <w:jc w:val="left"/>
            </w:pPr>
            <w:r>
              <w:rPr>
                <w:rFonts w:ascii="Arial" w:hAnsi="Arial"/>
                <w:sz w:val="17"/>
              </w:rPr>
              <w:t>Products in Shortage</w:t>
            </w:r>
          </w:p>
        </w:tc>
        <w:tc>
          <w:tcPr>
            <w:tcW w:type="dxa" w:w="6336"/>
            <w:shd w:fill="F3F5F7"/>
            <w:vAlign w:val="center"/>
            <w:tcMar>
              <w:top w:w="105" w:type="dxa"/>
              <w:start w:w="110" w:type="dxa"/>
              <w:bottom w:w="105" w:type="dxa"/>
              <w:end w:w="110" w:type="dxa"/>
            </w:tcMar>
          </w:tcPr>
          <w:p>
            <w:pPr>
              <w:spacing w:after="0" w:line="240" w:lineRule="auto"/>
              <w:jc w:val="left"/>
            </w:pPr>
            <w:r>
              <w:rPr>
                <w:rFonts w:ascii="Arial" w:hAnsi="Arial"/>
                <w:sz w:val="17"/>
              </w:rPr>
              <w:t>Count of products where Current Stock Shortage Units is greater than zero.</w:t>
            </w:r>
          </w:p>
        </w:tc>
      </w:tr>
    </w:tbl>
    <w:p>
      <w:pPr>
        <w:spacing w:after="20"/>
      </w:pPr>
    </w:p>
    <w:p>
      <w:pPr>
        <w:pStyle w:val="Heading1"/>
      </w:pPr>
      <w:r>
        <w:t>6 Interactions and visual standard</w:t>
      </w:r>
    </w:p>
    <w:p>
      <w:r>
        <w:rPr>
          <w:rFonts w:ascii="Arial" w:hAnsi="Arial"/>
        </w:rPr>
        <w:t>Every page follows a common layout: slicers in the top row, a primary matrix below and diagnostic charts in the lower area. White visual containers sit on a neutral grey canvas. Blue represents volume or baseline values, dark blue represents capacity or a comparison series, red marks risk or overload, and green describes a reduction in cost or plan where that distinction is useful.</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2664"/>
            <w:shd w:fill="17365D"/>
            <w:vAlign w:val="center"/>
            <w:tcMar>
              <w:top w:w="100" w:type="dxa"/>
              <w:start w:w="100" w:type="dxa"/>
              <w:bottom w:w="100" w:type="dxa"/>
              <w:end w:w="100" w:type="dxa"/>
            </w:tcMar>
          </w:tcPr>
          <w:p>
            <w:pPr>
              <w:spacing w:after="0"/>
              <w:jc w:val="center"/>
            </w:pPr>
            <w:r>
              <w:rPr>
                <w:rFonts w:ascii="Arial" w:hAnsi="Arial"/>
                <w:b/>
                <w:color w:val="FFFFFF"/>
                <w:sz w:val="17"/>
              </w:rPr>
              <w:t>Element</w:t>
            </w:r>
          </w:p>
        </w:tc>
        <w:tc>
          <w:tcPr>
            <w:tcW w:type="dxa" w:w="7056"/>
            <w:shd w:fill="17365D"/>
            <w:vAlign w:val="center"/>
            <w:tcMar>
              <w:top w:w="100" w:type="dxa"/>
              <w:start w:w="100" w:type="dxa"/>
              <w:bottom w:w="100" w:type="dxa"/>
              <w:end w:w="100" w:type="dxa"/>
            </w:tcMar>
          </w:tcPr>
          <w:p>
            <w:pPr>
              <w:spacing w:after="0"/>
              <w:jc w:val="center"/>
            </w:pPr>
            <w:r>
              <w:rPr>
                <w:rFonts w:ascii="Arial" w:hAnsi="Arial"/>
                <w:b/>
                <w:color w:val="FFFFFF"/>
                <w:sz w:val="17"/>
              </w:rPr>
              <w:t>Use</w:t>
            </w:r>
          </w:p>
        </w:tc>
      </w:tr>
      <w:tr>
        <w:trPr>
          <w:cantSplit/>
        </w:trPr>
        <w:tc>
          <w:tcPr>
            <w:tcW w:type="dxa" w:w="2664"/>
            <w:vAlign w:val="center"/>
            <w:tcMar>
              <w:top w:w="105" w:type="dxa"/>
              <w:start w:w="110" w:type="dxa"/>
              <w:bottom w:w="105" w:type="dxa"/>
              <w:end w:w="110" w:type="dxa"/>
            </w:tcMar>
          </w:tcPr>
          <w:p>
            <w:pPr>
              <w:spacing w:after="0" w:line="240" w:lineRule="auto"/>
              <w:jc w:val="left"/>
            </w:pPr>
            <w:r>
              <w:rPr>
                <w:rFonts w:ascii="Arial" w:hAnsi="Arial"/>
                <w:sz w:val="17"/>
              </w:rPr>
              <w:t>Slicers</w:t>
            </w:r>
          </w:p>
        </w:tc>
        <w:tc>
          <w:tcPr>
            <w:tcW w:type="dxa" w:w="7056"/>
            <w:vAlign w:val="center"/>
            <w:tcMar>
              <w:top w:w="105" w:type="dxa"/>
              <w:start w:w="110" w:type="dxa"/>
              <w:bottom w:w="105" w:type="dxa"/>
              <w:end w:w="110" w:type="dxa"/>
            </w:tcMar>
          </w:tcPr>
          <w:p>
            <w:pPr>
              <w:spacing w:after="0" w:line="240" w:lineRule="auto"/>
              <w:jc w:val="left"/>
            </w:pPr>
            <w:r>
              <w:rPr>
                <w:rFonts w:ascii="Arial" w:hAnsi="Arial"/>
                <w:sz w:val="17"/>
              </w:rPr>
              <w:t>Limit the shared page context. In tactical views, leg, start node and delivery node must identify a valid route combination.</w:t>
            </w:r>
          </w:p>
        </w:tc>
      </w:tr>
      <w:tr>
        <w:trPr>
          <w:cantSplit/>
        </w:trPr>
        <w:tc>
          <w:tcPr>
            <w:tcW w:type="dxa" w:w="2664"/>
            <w:shd w:fill="F3F5F7"/>
            <w:vAlign w:val="center"/>
            <w:tcMar>
              <w:top w:w="105" w:type="dxa"/>
              <w:start w:w="110" w:type="dxa"/>
              <w:bottom w:w="105" w:type="dxa"/>
              <w:end w:w="110" w:type="dxa"/>
            </w:tcMar>
          </w:tcPr>
          <w:p>
            <w:pPr>
              <w:spacing w:after="0" w:line="240" w:lineRule="auto"/>
              <w:jc w:val="left"/>
            </w:pPr>
            <w:r>
              <w:rPr>
                <w:rFonts w:ascii="Arial" w:hAnsi="Arial"/>
                <w:sz w:val="17"/>
              </w:rPr>
              <w:t>Bookmarks</w:t>
            </w:r>
          </w:p>
        </w:tc>
        <w:tc>
          <w:tcPr>
            <w:tcW w:type="dxa" w:w="7056"/>
            <w:shd w:fill="F3F5F7"/>
            <w:vAlign w:val="center"/>
            <w:tcMar>
              <w:top w:w="105" w:type="dxa"/>
              <w:start w:w="110" w:type="dxa"/>
              <w:bottom w:w="105" w:type="dxa"/>
              <w:end w:w="110" w:type="dxa"/>
            </w:tcMar>
          </w:tcPr>
          <w:p>
            <w:pPr>
              <w:spacing w:after="0" w:line="240" w:lineRule="auto"/>
              <w:jc w:val="left"/>
            </w:pPr>
            <w:r>
              <w:rPr>
                <w:rFonts w:ascii="Arial" w:hAnsi="Arial"/>
                <w:sz w:val="17"/>
              </w:rPr>
              <w:t>Switch Pickup and Arrival groups and Tactical and Short Term cost views without creating additional pages.</w:t>
            </w:r>
          </w:p>
        </w:tc>
      </w:tr>
      <w:tr>
        <w:trPr>
          <w:cantSplit/>
        </w:trPr>
        <w:tc>
          <w:tcPr>
            <w:tcW w:type="dxa" w:w="2664"/>
            <w:vAlign w:val="center"/>
            <w:tcMar>
              <w:top w:w="105" w:type="dxa"/>
              <w:start w:w="110" w:type="dxa"/>
              <w:bottom w:w="105" w:type="dxa"/>
              <w:end w:w="110" w:type="dxa"/>
            </w:tcMar>
          </w:tcPr>
          <w:p>
            <w:pPr>
              <w:spacing w:after="0" w:line="240" w:lineRule="auto"/>
              <w:jc w:val="left"/>
            </w:pPr>
            <w:r>
              <w:rPr>
                <w:rFonts w:ascii="Arial" w:hAnsi="Arial"/>
                <w:sz w:val="17"/>
              </w:rPr>
              <w:t>Field parameters</w:t>
            </w:r>
          </w:p>
        </w:tc>
        <w:tc>
          <w:tcPr>
            <w:tcW w:type="dxa" w:w="7056"/>
            <w:vAlign w:val="center"/>
            <w:tcMar>
              <w:top w:w="105" w:type="dxa"/>
              <w:start w:w="110" w:type="dxa"/>
              <w:bottom w:w="105" w:type="dxa"/>
              <w:end w:w="110" w:type="dxa"/>
            </w:tcMar>
          </w:tcPr>
          <w:p>
            <w:pPr>
              <w:spacing w:after="0" w:line="240" w:lineRule="auto"/>
              <w:jc w:val="left"/>
            </w:pPr>
            <w:r>
              <w:rPr>
                <w:rFonts w:ascii="Arial" w:hAnsi="Arial"/>
                <w:sz w:val="17"/>
              </w:rPr>
              <w:t>Change the selected measure or dimension while retaining the same visual layout.</w:t>
            </w:r>
          </w:p>
        </w:tc>
      </w:tr>
      <w:tr>
        <w:trPr>
          <w:cantSplit/>
        </w:trPr>
        <w:tc>
          <w:tcPr>
            <w:tcW w:type="dxa" w:w="2664"/>
            <w:shd w:fill="F3F5F7"/>
            <w:vAlign w:val="center"/>
            <w:tcMar>
              <w:top w:w="105" w:type="dxa"/>
              <w:start w:w="110" w:type="dxa"/>
              <w:bottom w:w="105" w:type="dxa"/>
              <w:end w:w="110" w:type="dxa"/>
            </w:tcMar>
          </w:tcPr>
          <w:p>
            <w:pPr>
              <w:spacing w:after="0" w:line="240" w:lineRule="auto"/>
              <w:jc w:val="left"/>
            </w:pPr>
            <w:r>
              <w:rPr>
                <w:rFonts w:ascii="Arial" w:hAnsi="Arial"/>
                <w:sz w:val="17"/>
              </w:rPr>
              <w:t>Edit interactions</w:t>
            </w:r>
          </w:p>
        </w:tc>
        <w:tc>
          <w:tcPr>
            <w:tcW w:type="dxa" w:w="7056"/>
            <w:shd w:fill="F3F5F7"/>
            <w:vAlign w:val="center"/>
            <w:tcMar>
              <w:top w:w="105" w:type="dxa"/>
              <w:start w:w="110" w:type="dxa"/>
              <w:bottom w:w="105" w:type="dxa"/>
              <w:end w:w="110" w:type="dxa"/>
            </w:tcMar>
          </w:tcPr>
          <w:p>
            <w:pPr>
              <w:spacing w:after="0" w:line="240" w:lineRule="auto"/>
              <w:jc w:val="left"/>
            </w:pPr>
            <w:r>
              <w:rPr>
                <w:rFonts w:ascii="Arial" w:hAnsi="Arial"/>
                <w:sz w:val="17"/>
              </w:rPr>
              <w:t>Slicers filter charts and matrices. Navigation controls must not introduce accidental filtering.</w:t>
            </w:r>
          </w:p>
        </w:tc>
      </w:tr>
      <w:tr>
        <w:trPr>
          <w:cantSplit/>
        </w:trPr>
        <w:tc>
          <w:tcPr>
            <w:tcW w:type="dxa" w:w="2664"/>
            <w:vAlign w:val="center"/>
            <w:tcMar>
              <w:top w:w="105" w:type="dxa"/>
              <w:start w:w="110" w:type="dxa"/>
              <w:bottom w:w="105" w:type="dxa"/>
              <w:end w:w="110" w:type="dxa"/>
            </w:tcMar>
          </w:tcPr>
          <w:p>
            <w:pPr>
              <w:spacing w:after="0" w:line="240" w:lineRule="auto"/>
              <w:jc w:val="left"/>
            </w:pPr>
            <w:r>
              <w:rPr>
                <w:rFonts w:ascii="Arial" w:hAnsi="Arial"/>
                <w:sz w:val="17"/>
              </w:rPr>
              <w:t>Conditional formatting</w:t>
            </w:r>
          </w:p>
        </w:tc>
        <w:tc>
          <w:tcPr>
            <w:tcW w:type="dxa" w:w="7056"/>
            <w:vAlign w:val="center"/>
            <w:tcMar>
              <w:top w:w="105" w:type="dxa"/>
              <w:start w:w="110" w:type="dxa"/>
              <w:bottom w:w="105" w:type="dxa"/>
              <w:end w:w="110" w:type="dxa"/>
            </w:tcMar>
          </w:tcPr>
          <w:p>
            <w:pPr>
              <w:spacing w:after="0" w:line="240" w:lineRule="auto"/>
              <w:jc w:val="left"/>
            </w:pPr>
            <w:r>
              <w:rPr>
                <w:rFonts w:ascii="Arial" w:hAnsi="Arial"/>
                <w:sz w:val="17"/>
              </w:rPr>
              <w:t>Highlights overload, stock shortage and material cost deviations.</w:t>
            </w:r>
          </w:p>
        </w:tc>
      </w:tr>
    </w:tbl>
    <w:p>
      <w:pPr>
        <w:spacing w:after="20"/>
      </w:pPr>
    </w:p>
    <w:p>
      <w:pPr>
        <w:pStyle w:val="Heading1"/>
      </w:pPr>
      <w:r>
        <w:t>7 Business use cases</w:t>
      </w:r>
    </w:p>
    <w:p>
      <w:pPr>
        <w:pStyle w:val="ListNumber"/>
        <w:spacing w:after="60"/>
        <w:ind w:left="360" w:hanging="216"/>
      </w:pPr>
      <w:r>
        <w:rPr>
          <w:rFonts w:ascii="Arial" w:hAnsi="Arial"/>
        </w:rPr>
        <w:t>A transport planner selects a week and identifies legs that require additional trucks. The planner then switches Risk Dimension to carrier to identify who must confirm extra capacity.</w:t>
      </w:r>
    </w:p>
    <w:p>
      <w:pPr>
        <w:pStyle w:val="ListNumber"/>
        <w:spacing w:after="60"/>
        <w:ind w:left="360" w:hanging="216"/>
      </w:pPr>
      <w:r>
        <w:rPr>
          <w:rFonts w:ascii="Arial" w:hAnsi="Arial"/>
        </w:rPr>
        <w:t>A warehouse selects Arrival and its delivery node to review expected inbound volume over the coming weeks.</w:t>
      </w:r>
    </w:p>
    <w:p>
      <w:pPr>
        <w:pStyle w:val="ListNumber"/>
        <w:spacing w:after="60"/>
        <w:ind w:left="360" w:hanging="216"/>
      </w:pPr>
      <w:r>
        <w:rPr>
          <w:rFonts w:ascii="Arial" w:hAnsi="Arial"/>
        </w:rPr>
        <w:t>An analyst compares current and previous tactical plans, identifies the largest revisions and checks whether the change is concentrated in one leg, carrier or week.</w:t>
      </w:r>
    </w:p>
    <w:p>
      <w:pPr>
        <w:pStyle w:val="ListNumber"/>
        <w:spacing w:after="60"/>
        <w:ind w:left="360" w:hanging="216"/>
      </w:pPr>
      <w:r>
        <w:rPr>
          <w:rFonts w:ascii="Arial" w:hAnsi="Arial"/>
        </w:rPr>
        <w:t>A carrier manager compares cost per truck kilometre and cost per pallet kilometre for routes with similar distance and volume, then reviews rate outliers.</w:t>
      </w:r>
    </w:p>
    <w:p>
      <w:pPr>
        <w:pStyle w:val="ListNumber"/>
        <w:spacing w:after="60"/>
        <w:ind w:left="360" w:hanging="216"/>
      </w:pPr>
      <w:r>
        <w:rPr>
          <w:rFonts w:ascii="Arial" w:hAnsi="Arial"/>
        </w:rPr>
        <w:t>A material planner selects a factory and product, adds a defined number of demand units and finds the first week when scenario stock becomes negative.</w:t>
      </w:r>
    </w:p>
    <w:p>
      <w:pPr>
        <w:pStyle w:val="Heading1"/>
      </w:pPr>
      <w:r>
        <w:t>8 Exclusions and limitations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2880"/>
            <w:shd w:fill="17365D"/>
            <w:vAlign w:val="center"/>
            <w:tcMar>
              <w:top w:w="100" w:type="dxa"/>
              <w:start w:w="100" w:type="dxa"/>
              <w:bottom w:w="100" w:type="dxa"/>
              <w:end w:w="100" w:type="dxa"/>
            </w:tcMar>
          </w:tcPr>
          <w:p>
            <w:pPr>
              <w:spacing w:after="0"/>
              <w:jc w:val="center"/>
            </w:pPr>
            <w:r>
              <w:rPr>
                <w:rFonts w:ascii="Arial" w:hAnsi="Arial"/>
                <w:b/>
                <w:color w:val="FFFFFF"/>
                <w:sz w:val="17"/>
              </w:rPr>
              <w:t>Item</w:t>
            </w:r>
          </w:p>
        </w:tc>
        <w:tc>
          <w:tcPr>
            <w:tcW w:type="dxa" w:w="6840"/>
            <w:shd w:fill="17365D"/>
            <w:vAlign w:val="center"/>
            <w:tcMar>
              <w:top w:w="100" w:type="dxa"/>
              <w:start w:w="100" w:type="dxa"/>
              <w:bottom w:w="100" w:type="dxa"/>
              <w:end w:w="100" w:type="dxa"/>
            </w:tcMar>
          </w:tcPr>
          <w:p>
            <w:pPr>
              <w:spacing w:after="0"/>
              <w:jc w:val="center"/>
            </w:pPr>
            <w:r>
              <w:rPr>
                <w:rFonts w:ascii="Arial" w:hAnsi="Arial"/>
                <w:b/>
                <w:color w:val="FFFFFF"/>
                <w:sz w:val="17"/>
              </w:rPr>
              <w:t>Decision and rationale</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Executive Overview</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Removed. The report prioritises slicers, matrices and exception analysis instead of repeating general KPI cards.</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Short Term versus Tactical</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Removed from the final scope. The short common horizon and different grains made interpretation unclear.</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Factory Capacity</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No page was created because the available data does not provide a sufficiently reliable factory capacity model linked to stock.</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Multiple demand changes</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The scenario supports one value, one factory, one product and one scenario week at a time.</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Tooltip and drill through pages</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Deliberately excluded to keep navigation proportionate to a portfolio demonstration.</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RLS and production publishing</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Not included in the current demonstration scope.</w:t>
            </w:r>
          </w:p>
        </w:tc>
      </w:tr>
    </w:tbl>
    <w:p>
      <w:pPr>
        <w:spacing w:after="20"/>
      </w:pPr>
    </w:p>
    <w:p>
      <w:pPr>
        <w:pStyle w:val="Heading1"/>
      </w:pPr>
      <w:r>
        <w:t>9 Post refresh controls</w:t>
      </w:r>
    </w:p>
    <w:p>
      <w:pPr>
        <w:pStyle w:val="ListBullet"/>
        <w:spacing w:after="60"/>
        <w:ind w:left="317" w:hanging="173"/>
      </w:pPr>
      <w:r>
        <w:rPr>
          <w:rFonts w:ascii="Arial" w:hAnsi="Arial"/>
        </w:rPr>
        <w:t>Confirm that DimTacticalSnapshot contains the expected CURRENT and PREVIOUS publications.</w:t>
      </w:r>
    </w:p>
    <w:p>
      <w:pPr>
        <w:pStyle w:val="ListBullet"/>
        <w:spacing w:after="60"/>
        <w:ind w:left="317" w:hanging="173"/>
      </w:pPr>
      <w:r>
        <w:rPr>
          <w:rFonts w:ascii="Arial" w:hAnsi="Arial"/>
        </w:rPr>
        <w:t>Reconcile Power BI pallet totals with the source SQL aggregate under the same snapshot and week filters.</w:t>
      </w:r>
    </w:p>
    <w:p>
      <w:pPr>
        <w:pStyle w:val="ListBullet"/>
        <w:spacing w:after="60"/>
        <w:ind w:left="317" w:hanging="173"/>
      </w:pPr>
      <w:r>
        <w:rPr>
          <w:rFonts w:ascii="Arial" w:hAnsi="Arial"/>
        </w:rPr>
        <w:t>Verify that pickup and delivery relationships use pickup_node_id and delivery_node_id respectively.</w:t>
      </w:r>
    </w:p>
    <w:p>
      <w:pPr>
        <w:pStyle w:val="ListBullet"/>
        <w:spacing w:after="60"/>
        <w:ind w:left="317" w:hanging="173"/>
      </w:pPr>
      <w:r>
        <w:rPr>
          <w:rFonts w:ascii="Arial" w:hAnsi="Arial"/>
        </w:rPr>
        <w:t>Confirm that Capacity Utilization Percent is calculated as volume divided by capacity and is not summed across rows.</w:t>
      </w:r>
    </w:p>
    <w:p>
      <w:pPr>
        <w:pStyle w:val="ListBullet"/>
        <w:spacing w:after="60"/>
        <w:ind w:left="317" w:hanging="173"/>
      </w:pPr>
      <w:r>
        <w:rPr>
          <w:rFonts w:ascii="Arial" w:hAnsi="Arial"/>
        </w:rPr>
        <w:t>Validate one physical leg cost: trucks multiplied by cost per truck must equal total cost.</w:t>
      </w:r>
    </w:p>
    <w:p>
      <w:pPr>
        <w:pStyle w:val="ListBullet"/>
        <w:spacing w:after="60"/>
        <w:ind w:left="317" w:hanging="173"/>
      </w:pPr>
      <w:r>
        <w:rPr>
          <w:rFonts w:ascii="Arial" w:hAnsi="Arial"/>
        </w:rPr>
        <w:t>Validate one stock scenario: incremental demand appears once in requirement but reduces closing stock in subsequent weeks.</w:t>
      </w:r>
    </w:p>
    <w:p>
      <w:pPr>
        <w:pStyle w:val="Heading1"/>
      </w:pPr>
      <w:r>
        <w:t>10 Page and metric glossary</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040"/>
        <w:gridCol w:w="5040"/>
      </w:tblGrid>
      <w:tr>
        <w:trPr>
          <w:tblHeader w:val="true"/>
        </w:trPr>
        <w:tc>
          <w:tcPr>
            <w:tcW w:type="dxa" w:w="2880"/>
            <w:shd w:fill="17365D"/>
            <w:vAlign w:val="center"/>
            <w:tcMar>
              <w:top w:w="100" w:type="dxa"/>
              <w:start w:w="100" w:type="dxa"/>
              <w:bottom w:w="100" w:type="dxa"/>
              <w:end w:w="100" w:type="dxa"/>
            </w:tcMar>
          </w:tcPr>
          <w:p>
            <w:pPr>
              <w:spacing w:after="0"/>
              <w:jc w:val="center"/>
            </w:pPr>
            <w:r>
              <w:rPr>
                <w:rFonts w:ascii="Arial" w:hAnsi="Arial"/>
                <w:b/>
                <w:color w:val="FFFFFF"/>
                <w:sz w:val="17"/>
              </w:rPr>
              <w:t>Report term</w:t>
            </w:r>
          </w:p>
        </w:tc>
        <w:tc>
          <w:tcPr>
            <w:tcW w:type="dxa" w:w="6840"/>
            <w:shd w:fill="17365D"/>
            <w:vAlign w:val="center"/>
            <w:tcMar>
              <w:top w:w="100" w:type="dxa"/>
              <w:start w:w="100" w:type="dxa"/>
              <w:bottom w:w="100" w:type="dxa"/>
              <w:end w:w="100" w:type="dxa"/>
            </w:tcMar>
          </w:tcPr>
          <w:p>
            <w:pPr>
              <w:spacing w:after="0"/>
              <w:jc w:val="center"/>
            </w:pPr>
            <w:r>
              <w:rPr>
                <w:rFonts w:ascii="Arial" w:hAnsi="Arial"/>
                <w:b/>
                <w:color w:val="FFFFFF"/>
                <w:sz w:val="17"/>
              </w:rPr>
              <w:t>Meaning</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Tactical</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Current 16 week transport plan.</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Tactical Revision</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Current versus previous tactical comparison.</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Short Term</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Operational 14 day pickup plan.</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Transport Costs</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Tactical and short term transport cost analysis.</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Stock Scenario</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Numeric demand change scenario.</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Stock Overview</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Baseline stock projection by factory, product and week.</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Leg</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Physical segment between an origin node and destination node.</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Overload</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Pallet volume above available carrier capacity.</w:t>
            </w:r>
          </w:p>
        </w:tc>
      </w:tr>
      <w:tr>
        <w:trPr>
          <w:cantSplit/>
        </w:trPr>
        <w:tc>
          <w:tcPr>
            <w:tcW w:type="dxa" w:w="2880"/>
            <w:vAlign w:val="center"/>
            <w:tcMar>
              <w:top w:w="105" w:type="dxa"/>
              <w:start w:w="110" w:type="dxa"/>
              <w:bottom w:w="105" w:type="dxa"/>
              <w:end w:w="110" w:type="dxa"/>
            </w:tcMar>
          </w:tcPr>
          <w:p>
            <w:pPr>
              <w:spacing w:after="0" w:line="240" w:lineRule="auto"/>
              <w:jc w:val="left"/>
            </w:pPr>
            <w:r>
              <w:rPr>
                <w:rFonts w:ascii="Arial" w:hAnsi="Arial"/>
                <w:sz w:val="17"/>
              </w:rPr>
              <w:t>Revision</w:t>
            </w:r>
          </w:p>
        </w:tc>
        <w:tc>
          <w:tcPr>
            <w:tcW w:type="dxa" w:w="6840"/>
            <w:vAlign w:val="center"/>
            <w:tcMar>
              <w:top w:w="105" w:type="dxa"/>
              <w:start w:w="110" w:type="dxa"/>
              <w:bottom w:w="105" w:type="dxa"/>
              <w:end w:w="110" w:type="dxa"/>
            </w:tcMar>
          </w:tcPr>
          <w:p>
            <w:pPr>
              <w:spacing w:after="0" w:line="240" w:lineRule="auto"/>
              <w:jc w:val="left"/>
            </w:pPr>
            <w:r>
              <w:rPr>
                <w:rFonts w:ascii="Arial" w:hAnsi="Arial"/>
                <w:sz w:val="17"/>
              </w:rPr>
              <w:t>Current value minus previous value.</w:t>
            </w:r>
          </w:p>
        </w:tc>
      </w:tr>
      <w:tr>
        <w:trPr>
          <w:cantSplit/>
        </w:trPr>
        <w:tc>
          <w:tcPr>
            <w:tcW w:type="dxa" w:w="2880"/>
            <w:shd w:fill="F3F5F7"/>
            <w:vAlign w:val="center"/>
            <w:tcMar>
              <w:top w:w="105" w:type="dxa"/>
              <w:start w:w="110" w:type="dxa"/>
              <w:bottom w:w="105" w:type="dxa"/>
              <w:end w:w="110" w:type="dxa"/>
            </w:tcMar>
          </w:tcPr>
          <w:p>
            <w:pPr>
              <w:spacing w:after="0" w:line="240" w:lineRule="auto"/>
              <w:jc w:val="left"/>
            </w:pPr>
            <w:r>
              <w:rPr>
                <w:rFonts w:ascii="Arial" w:hAnsi="Arial"/>
                <w:sz w:val="17"/>
              </w:rPr>
              <w:t>Shortage</w:t>
            </w:r>
          </w:p>
        </w:tc>
        <w:tc>
          <w:tcPr>
            <w:tcW w:type="dxa" w:w="6840"/>
            <w:shd w:fill="F3F5F7"/>
            <w:vAlign w:val="center"/>
            <w:tcMar>
              <w:top w:w="105" w:type="dxa"/>
              <w:start w:w="110" w:type="dxa"/>
              <w:bottom w:w="105" w:type="dxa"/>
              <w:end w:w="110" w:type="dxa"/>
            </w:tcMar>
          </w:tcPr>
          <w:p>
            <w:pPr>
              <w:spacing w:after="0" w:line="240" w:lineRule="auto"/>
              <w:jc w:val="left"/>
            </w:pPr>
            <w:r>
              <w:rPr>
                <w:rFonts w:ascii="Arial" w:hAnsi="Arial"/>
                <w:sz w:val="17"/>
              </w:rPr>
              <w:t>Absolute value of negative closing stock.</w:t>
            </w:r>
          </w:p>
        </w:tc>
      </w:tr>
    </w:tbl>
    <w:p>
      <w:pPr>
        <w:spacing w:after="20"/>
      </w:pPr>
    </w:p>
    <w:sectPr w:rsidR="00FC693F" w:rsidRPr="0006063C" w:rsidSect="00034616">
      <w:footerReference w:type="default" r:id="rId9"/>
      <w:pgSz w:w="12240" w:h="15840"/>
      <w:pgMar w:top="1008"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8352"/>
      <w:gridCol w:w="1728"/>
    </w:tblGrid>
    <w:tr>
      <w:tc>
        <w:tcPr>
          <w:tcW w:type="dxa" w:w="5040"/>
          <w:tcMar>
            <w:top w:w="0" w:type="dxa"/>
            <w:start w:w="0" w:type="dxa"/>
            <w:bottom w:w="0" w:type="dxa"/>
            <w:end w:w="0" w:type="dxa"/>
          </w:tcMar>
        </w:tcPr>
        <w:p>
          <w:pPr>
            <w:jc w:val="left"/>
          </w:pPr>
          <w:r>
            <w:rPr>
              <w:rFonts w:ascii="Arial" w:hAnsi="Arial"/>
              <w:color w:val="4F4F4F"/>
              <w:sz w:val="16"/>
            </w:rPr>
            <w:t>Autoparts Supply Chain Control Tower</w:t>
          </w:r>
        </w:p>
      </w:tc>
      <w:tc>
        <w:tcPr>
          <w:tcW w:type="dxa" w:w="5040"/>
          <w:tcMar>
            <w:top w:w="0" w:type="dxa"/>
            <w:start w:w="0" w:type="dxa"/>
            <w:bottom w:w="0" w:type="dxa"/>
            <w:end w:w="0" w:type="dxa"/>
          </w:tcMar>
        </w:tcPr>
        <w:p>
          <w:pPr>
            <w:jc w:val="right"/>
          </w:pPr>
          <w:r>
            <w:rPr>
              <w:rFonts w:ascii="Arial" w:hAnsi="Arial"/>
              <w:color w:val="4F4F4F"/>
              <w:sz w:val="16"/>
            </w:rPr>
            <w:t xml:space="preserve">Page </w:t>
          </w:r>
          <w:r>
            <w:rPr>
              <w:rFonts w:ascii="Arial" w:hAnsi="Arial"/>
              <w:color w:val="4F4F4F"/>
              <w:sz w:val="16"/>
            </w:rPr>
            <w:fldChar w:fldCharType="begin"/>
            <w:instrText xml:space="preserve"> PAGE </w:instrText>
            <w:fldChar w:fldCharType="end"/>
          </w:r>
        </w:p>
      </w:tc>
    </w:tr>
  </w:tbl>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color w:val="000000"/>
      <w:sz w:val="21"/>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ascii="Arial" w:hAnsi="Arial"/>
      <w:b/>
      <w:bCs/>
      <w:color w:val="000000"/>
      <w:sz w:val="32"/>
      <w:szCs w:val="28"/>
      <w:lang w:val="en-US"/>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Arial" w:hAnsi="Arial"/>
      <w:b/>
      <w:bCs/>
      <w:color w:val="000000"/>
      <w:sz w:val="26"/>
      <w:szCs w:val="26"/>
      <w:lang w:val="en-US"/>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rial" w:hAnsi="Arial"/>
      <w:b/>
      <w:bCs/>
      <w:color w:val="000000"/>
      <w:sz w:val="23"/>
      <w:lang w:val="en-U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40" w:line="240" w:lineRule="auto"/>
      <w:contextualSpacing/>
    </w:pPr>
    <w:rPr>
      <w:rFonts w:asciiTheme="majorHAnsi" w:eastAsiaTheme="majorEastAsia" w:hAnsiTheme="majorHAnsi" w:cstheme="majorBidi" w:ascii="Arial" w:hAnsi="Arial"/>
      <w:b/>
      <w:color w:val="000000"/>
      <w:spacing w:val="5"/>
      <w:kern w:val="28"/>
      <w:sz w:val="50"/>
      <w:szCs w:val="52"/>
      <w:lang w:val="en-US"/>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440"/>
    </w:pPr>
    <w:rPr>
      <w:rFonts w:asciiTheme="majorHAnsi" w:eastAsiaTheme="majorEastAsia" w:hAnsiTheme="majorHAnsi" w:cstheme="majorBidi" w:ascii="Arial" w:hAnsi="Arial"/>
      <w:i/>
      <w:iCs/>
      <w:color w:val="4F4F4F"/>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Label">
    <w:name w:val="Small Label"/>
    <w:pPr>
      <w:spacing w:after="140"/>
    </w:pPr>
    <w:rPr>
      <w:rFonts w:ascii="Arial" w:hAnsi="Arial"/>
      <w:b/>
      <w:color w:val="1F78B4"/>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BI Report Documentation for Autoparts Supply Chain Control Tower</dc:title>
  <dc:subject>Power BI report documentation for the Autoparts Supply Chain Control Tower portfolio project</dc:subject>
  <dc:creator>Kamil Soja</dc:creator>
  <cp:keywords>Power BI, Azure SQL, supply chain, tactical planning, transport, stock</cp:keywords>
  <dc:description>generated by python-docx</dc:description>
  <cp:lastModifiedBy/>
  <cp:revision>1</cp:revision>
  <dcterms:created xsi:type="dcterms:W3CDTF">2013-12-23T23:15:00Z</dcterms:created>
  <dcterms:modified xsi:type="dcterms:W3CDTF">2013-12-23T23:15:00Z</dcterms:modified>
  <cp:category/>
</cp:coreProperties>
</file>